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A294" w14:textId="77777777" w:rsidR="00A46D5E" w:rsidRDefault="00D77450" w:rsidP="00A46D5E">
      <w:pPr>
        <w:pStyle w:val="Title"/>
        <w:tabs>
          <w:tab w:val="left" w:pos="1890"/>
        </w:tabs>
        <w:spacing w:line="278" w:lineRule="auto"/>
        <w:ind w:left="1440"/>
        <w:jc w:val="center"/>
      </w:pPr>
      <w:r>
        <w:t>Idaho</w:t>
      </w:r>
      <w:r>
        <w:rPr>
          <w:spacing w:val="-7"/>
        </w:rPr>
        <w:t xml:space="preserve"> </w:t>
      </w:r>
      <w:r>
        <w:t>State</w:t>
      </w:r>
      <w:r>
        <w:rPr>
          <w:spacing w:val="-6"/>
        </w:rPr>
        <w:t xml:space="preserve"> </w:t>
      </w:r>
      <w:r>
        <w:t>University</w:t>
      </w:r>
      <w:r>
        <w:rPr>
          <w:spacing w:val="-6"/>
        </w:rPr>
        <w:t xml:space="preserve"> </w:t>
      </w:r>
      <w:r>
        <w:t>College</w:t>
      </w:r>
      <w:r>
        <w:rPr>
          <w:spacing w:val="-5"/>
        </w:rPr>
        <w:t xml:space="preserve"> </w:t>
      </w:r>
      <w:r>
        <w:t>of</w:t>
      </w:r>
      <w:r>
        <w:rPr>
          <w:spacing w:val="-4"/>
        </w:rPr>
        <w:t xml:space="preserve"> </w:t>
      </w:r>
      <w:r>
        <w:t>Science</w:t>
      </w:r>
      <w:r>
        <w:rPr>
          <w:spacing w:val="-5"/>
        </w:rPr>
        <w:t xml:space="preserve"> </w:t>
      </w:r>
      <w:r>
        <w:t>and</w:t>
      </w:r>
      <w:r>
        <w:rPr>
          <w:spacing w:val="-6"/>
        </w:rPr>
        <w:t xml:space="preserve"> </w:t>
      </w:r>
      <w:r>
        <w:t>Engineering ISUPP 4090</w:t>
      </w:r>
    </w:p>
    <w:p w14:paraId="623615A6" w14:textId="3A768C85" w:rsidR="00792BB2" w:rsidRDefault="00D77450" w:rsidP="00A46D5E">
      <w:pPr>
        <w:pStyle w:val="Title"/>
        <w:tabs>
          <w:tab w:val="left" w:pos="1890"/>
        </w:tabs>
        <w:spacing w:line="278" w:lineRule="auto"/>
        <w:ind w:left="1440"/>
        <w:jc w:val="center"/>
      </w:pPr>
      <w:r>
        <w:t>Faculty Workload Policy Supplement</w:t>
      </w:r>
    </w:p>
    <w:p w14:paraId="4FE976DE" w14:textId="661BFCE0" w:rsidR="00792BB2" w:rsidRDefault="00A46D5E" w:rsidP="00A46D5E">
      <w:pPr>
        <w:tabs>
          <w:tab w:val="left" w:pos="1890"/>
        </w:tabs>
        <w:spacing w:line="244" w:lineRule="exact"/>
        <w:ind w:left="1637"/>
        <w:rPr>
          <w:i/>
        </w:rPr>
      </w:pPr>
      <w:r>
        <w:rPr>
          <w:i/>
        </w:rPr>
        <w:t xml:space="preserve">                      </w:t>
      </w:r>
      <w:r w:rsidR="00D77450">
        <w:rPr>
          <w:i/>
        </w:rPr>
        <w:t>(</w:t>
      </w:r>
      <w:r>
        <w:rPr>
          <w:i/>
        </w:rPr>
        <w:t>Approved by faculty vote on May 5, 2025</w:t>
      </w:r>
      <w:r w:rsidR="00D77450">
        <w:rPr>
          <w:i/>
          <w:spacing w:val="-2"/>
        </w:rPr>
        <w:t>)</w:t>
      </w:r>
    </w:p>
    <w:p w14:paraId="4A81FC43" w14:textId="77777777" w:rsidR="00792BB2" w:rsidRDefault="00792BB2" w:rsidP="00A46D5E">
      <w:pPr>
        <w:pStyle w:val="BodyText"/>
        <w:tabs>
          <w:tab w:val="left" w:pos="1890"/>
        </w:tabs>
        <w:spacing w:before="79"/>
        <w:rPr>
          <w:i/>
        </w:rPr>
      </w:pPr>
    </w:p>
    <w:p w14:paraId="77B77978" w14:textId="77777777" w:rsidR="00792BB2" w:rsidRDefault="00D77450" w:rsidP="00A46D5E">
      <w:pPr>
        <w:pStyle w:val="BodyText"/>
        <w:tabs>
          <w:tab w:val="left" w:pos="1890"/>
        </w:tabs>
        <w:spacing w:line="268" w:lineRule="auto"/>
        <w:ind w:left="360" w:right="41"/>
      </w:pPr>
      <w:r>
        <w:t xml:space="preserve">This document supplements </w:t>
      </w:r>
      <w:r>
        <w:rPr>
          <w:i/>
        </w:rPr>
        <w:t>Idaho State University Policy and Procedure 4090, Faculty Workload</w:t>
      </w:r>
      <w:r>
        <w:t>,</w:t>
      </w:r>
      <w:r>
        <w:rPr>
          <w:spacing w:val="-5"/>
        </w:rPr>
        <w:t xml:space="preserve"> </w:t>
      </w:r>
      <w:r>
        <w:t>and</w:t>
      </w:r>
      <w:r>
        <w:rPr>
          <w:spacing w:val="-4"/>
        </w:rPr>
        <w:t xml:space="preserve"> </w:t>
      </w:r>
      <w:r>
        <w:t>drafts</w:t>
      </w:r>
      <w:r>
        <w:rPr>
          <w:spacing w:val="-6"/>
        </w:rPr>
        <w:t xml:space="preserve"> </w:t>
      </w:r>
      <w:r>
        <w:t>college-specific</w:t>
      </w:r>
      <w:r>
        <w:rPr>
          <w:spacing w:val="-3"/>
        </w:rPr>
        <w:t xml:space="preserve"> </w:t>
      </w:r>
      <w:r>
        <w:t>workload</w:t>
      </w:r>
      <w:r>
        <w:rPr>
          <w:spacing w:val="-4"/>
        </w:rPr>
        <w:t xml:space="preserve"> </w:t>
      </w:r>
      <w:r>
        <w:t>criteria,</w:t>
      </w:r>
      <w:r>
        <w:rPr>
          <w:spacing w:val="-5"/>
        </w:rPr>
        <w:t xml:space="preserve"> </w:t>
      </w:r>
      <w:r>
        <w:t>as</w:t>
      </w:r>
      <w:r>
        <w:rPr>
          <w:spacing w:val="-6"/>
        </w:rPr>
        <w:t xml:space="preserve"> </w:t>
      </w:r>
      <w:r>
        <w:t>required</w:t>
      </w:r>
      <w:r>
        <w:rPr>
          <w:spacing w:val="-6"/>
        </w:rPr>
        <w:t xml:space="preserve"> </w:t>
      </w:r>
      <w:r>
        <w:t>by</w:t>
      </w:r>
      <w:r>
        <w:rPr>
          <w:spacing w:val="-4"/>
        </w:rPr>
        <w:t xml:space="preserve"> </w:t>
      </w:r>
      <w:r>
        <w:t>said</w:t>
      </w:r>
      <w:r>
        <w:rPr>
          <w:spacing w:val="-4"/>
        </w:rPr>
        <w:t xml:space="preserve"> </w:t>
      </w:r>
      <w:r>
        <w:t>policy,</w:t>
      </w:r>
      <w:r>
        <w:rPr>
          <w:spacing w:val="-5"/>
        </w:rPr>
        <w:t xml:space="preserve"> </w:t>
      </w:r>
      <w:r>
        <w:t>for</w:t>
      </w:r>
      <w:r>
        <w:rPr>
          <w:spacing w:val="-5"/>
        </w:rPr>
        <w:t xml:space="preserve"> </w:t>
      </w:r>
      <w:r>
        <w:t>the College of Science and Engineering (</w:t>
      </w:r>
      <w:proofErr w:type="spellStart"/>
      <w:r>
        <w:t>CoSE</w:t>
      </w:r>
      <w:proofErr w:type="spellEnd"/>
      <w:r>
        <w:t xml:space="preserve">). The sections listed below correspond with the sections in the institutional level policy. Each department is encouraged to develop its own workload policy or guidelines consistent with the </w:t>
      </w:r>
      <w:proofErr w:type="spellStart"/>
      <w:r>
        <w:t>CoSE</w:t>
      </w:r>
      <w:proofErr w:type="spellEnd"/>
      <w:r>
        <w:t xml:space="preserve"> and ISU policies, in consultation with the </w:t>
      </w:r>
      <w:proofErr w:type="spellStart"/>
      <w:r>
        <w:t>CoSE</w:t>
      </w:r>
      <w:proofErr w:type="spellEnd"/>
      <w:r>
        <w:t xml:space="preserve"> Dean’s office.</w:t>
      </w:r>
    </w:p>
    <w:p w14:paraId="54BBD658" w14:textId="77777777" w:rsidR="00792BB2" w:rsidRDefault="00792BB2" w:rsidP="00A46D5E">
      <w:pPr>
        <w:pStyle w:val="BodyText"/>
        <w:tabs>
          <w:tab w:val="left" w:pos="1890"/>
        </w:tabs>
        <w:spacing w:before="51"/>
      </w:pPr>
    </w:p>
    <w:p w14:paraId="451AE195" w14:textId="77777777" w:rsidR="00792BB2" w:rsidRDefault="00D77450" w:rsidP="00A46D5E">
      <w:pPr>
        <w:pStyle w:val="ListParagraph"/>
        <w:numPr>
          <w:ilvl w:val="0"/>
          <w:numId w:val="3"/>
        </w:numPr>
        <w:tabs>
          <w:tab w:val="left" w:pos="1785"/>
          <w:tab w:val="left" w:pos="1890"/>
        </w:tabs>
        <w:spacing w:line="268" w:lineRule="auto"/>
        <w:ind w:right="13" w:firstLine="0"/>
      </w:pPr>
      <w:proofErr w:type="spellStart"/>
      <w:r>
        <w:t>CoSE</w:t>
      </w:r>
      <w:proofErr w:type="spellEnd"/>
      <w:r>
        <w:t xml:space="preserve"> recognizes that the workload equivalency units (WEU) defined in ISUPP 4090 may translate in complex ways to credit hours (CH), contact hours (number of face-to-face hours between students and Faculty regardless of credit hours), and</w:t>
      </w:r>
      <w:r>
        <w:rPr>
          <w:spacing w:val="-4"/>
        </w:rPr>
        <w:t xml:space="preserve"> </w:t>
      </w:r>
      <w:r>
        <w:t>student</w:t>
      </w:r>
      <w:r>
        <w:rPr>
          <w:spacing w:val="-3"/>
        </w:rPr>
        <w:t xml:space="preserve"> </w:t>
      </w:r>
      <w:r>
        <w:t>outcomes</w:t>
      </w:r>
      <w:r>
        <w:rPr>
          <w:spacing w:val="-1"/>
        </w:rPr>
        <w:t xml:space="preserve"> </w:t>
      </w:r>
      <w:r>
        <w:t>within</w:t>
      </w:r>
      <w:r>
        <w:rPr>
          <w:spacing w:val="-4"/>
        </w:rPr>
        <w:t xml:space="preserve"> </w:t>
      </w:r>
      <w:r>
        <w:t>the</w:t>
      </w:r>
      <w:r>
        <w:rPr>
          <w:spacing w:val="-4"/>
        </w:rPr>
        <w:t xml:space="preserve"> </w:t>
      </w:r>
      <w:r>
        <w:t>college.</w:t>
      </w:r>
      <w:r>
        <w:rPr>
          <w:spacing w:val="-8"/>
        </w:rPr>
        <w:t xml:space="preserve"> </w:t>
      </w:r>
      <w:r>
        <w:t>This</w:t>
      </w:r>
      <w:r>
        <w:rPr>
          <w:spacing w:val="-1"/>
        </w:rPr>
        <w:t xml:space="preserve"> </w:t>
      </w:r>
      <w:r>
        <w:t>supplement</w:t>
      </w:r>
      <w:r>
        <w:rPr>
          <w:spacing w:val="-3"/>
        </w:rPr>
        <w:t xml:space="preserve"> </w:t>
      </w:r>
      <w:r>
        <w:t>seeks</w:t>
      </w:r>
      <w:r>
        <w:rPr>
          <w:spacing w:val="-6"/>
        </w:rPr>
        <w:t xml:space="preserve"> </w:t>
      </w:r>
      <w:r>
        <w:t>to</w:t>
      </w:r>
      <w:r>
        <w:rPr>
          <w:spacing w:val="-2"/>
        </w:rPr>
        <w:t xml:space="preserve"> </w:t>
      </w:r>
      <w:r>
        <w:t xml:space="preserve">clarify those complexities to fulfill the policy goals of equity, flexibility, credit, and </w:t>
      </w:r>
      <w:r>
        <w:rPr>
          <w:spacing w:val="-2"/>
        </w:rPr>
        <w:t>transparency.</w:t>
      </w:r>
    </w:p>
    <w:p w14:paraId="334CF562" w14:textId="77777777" w:rsidR="00792BB2" w:rsidRDefault="00792BB2" w:rsidP="00A46D5E">
      <w:pPr>
        <w:pStyle w:val="BodyText"/>
        <w:tabs>
          <w:tab w:val="left" w:pos="1890"/>
        </w:tabs>
        <w:spacing w:before="57"/>
      </w:pPr>
    </w:p>
    <w:p w14:paraId="2A6E8BCA" w14:textId="77777777" w:rsidR="00792BB2" w:rsidRDefault="00D77450" w:rsidP="00A46D5E">
      <w:pPr>
        <w:pStyle w:val="ListParagraph"/>
        <w:numPr>
          <w:ilvl w:val="0"/>
          <w:numId w:val="3"/>
        </w:numPr>
        <w:tabs>
          <w:tab w:val="left" w:pos="1080"/>
          <w:tab w:val="left" w:pos="1800"/>
          <w:tab w:val="left" w:pos="1890"/>
        </w:tabs>
        <w:spacing w:line="268" w:lineRule="auto"/>
        <w:ind w:left="1080" w:right="3" w:hanging="15"/>
      </w:pPr>
      <w:r>
        <w:t>Section II.G sets one WEU (i.e., ~2 hours and 40 minutes per week)</w:t>
      </w:r>
      <w:r>
        <w:rPr>
          <w:spacing w:val="40"/>
        </w:rPr>
        <w:t xml:space="preserve"> </w:t>
      </w:r>
      <w:r>
        <w:t>equal one credit-hour of instruction, and thus sets an expectation that all preparation, delivery, student support, teaching, and grading per credit-hour taught should be equivalent to ~3.3% (or 1/30) of Faculty’s typical two-semester total</w:t>
      </w:r>
      <w:r>
        <w:rPr>
          <w:spacing w:val="-3"/>
        </w:rPr>
        <w:t xml:space="preserve"> </w:t>
      </w:r>
      <w:r>
        <w:t>workload.</w:t>
      </w:r>
      <w:r>
        <w:rPr>
          <w:spacing w:val="-4"/>
        </w:rPr>
        <w:t xml:space="preserve"> </w:t>
      </w:r>
      <w:r>
        <w:t>In</w:t>
      </w:r>
      <w:r>
        <w:rPr>
          <w:spacing w:val="-5"/>
        </w:rPr>
        <w:t xml:space="preserve"> </w:t>
      </w:r>
      <w:r>
        <w:t>turn,</w:t>
      </w:r>
      <w:r>
        <w:rPr>
          <w:spacing w:val="-4"/>
        </w:rPr>
        <w:t xml:space="preserve"> </w:t>
      </w:r>
      <w:r>
        <w:t>a</w:t>
      </w:r>
      <w:r>
        <w:rPr>
          <w:spacing w:val="-5"/>
        </w:rPr>
        <w:t xml:space="preserve"> </w:t>
      </w:r>
      <w:r>
        <w:t>3-credit</w:t>
      </w:r>
      <w:r>
        <w:rPr>
          <w:spacing w:val="-4"/>
        </w:rPr>
        <w:t xml:space="preserve"> </w:t>
      </w:r>
      <w:r>
        <w:t>class</w:t>
      </w:r>
      <w:r>
        <w:rPr>
          <w:spacing w:val="-5"/>
        </w:rPr>
        <w:t xml:space="preserve"> </w:t>
      </w:r>
      <w:r>
        <w:t>should</w:t>
      </w:r>
      <w:r>
        <w:rPr>
          <w:spacing w:val="-3"/>
        </w:rPr>
        <w:t xml:space="preserve"> </w:t>
      </w:r>
      <w:r>
        <w:t>nominally</w:t>
      </w:r>
      <w:r>
        <w:rPr>
          <w:spacing w:val="-2"/>
        </w:rPr>
        <w:t xml:space="preserve"> </w:t>
      </w:r>
      <w:r>
        <w:t>take</w:t>
      </w:r>
      <w:r>
        <w:rPr>
          <w:spacing w:val="-5"/>
        </w:rPr>
        <w:t xml:space="preserve"> </w:t>
      </w:r>
      <w:r>
        <w:t>~8</w:t>
      </w:r>
      <w:r>
        <w:rPr>
          <w:spacing w:val="-5"/>
        </w:rPr>
        <w:t xml:space="preserve"> </w:t>
      </w:r>
      <w:r>
        <w:t>hours/week.</w:t>
      </w:r>
      <w:r>
        <w:rPr>
          <w:spacing w:val="-6"/>
        </w:rPr>
        <w:t xml:space="preserve"> </w:t>
      </w:r>
      <w:r>
        <w:t xml:space="preserve">This </w:t>
      </w:r>
      <w:proofErr w:type="spellStart"/>
      <w:r>
        <w:t>CoSE</w:t>
      </w:r>
      <w:proofErr w:type="spellEnd"/>
      <w:r>
        <w:t xml:space="preserve"> supplement explicitly recognizes the complexities of translating credit hour to workload within this college, and acknowledges that such expectations may</w:t>
      </w:r>
      <w:r>
        <w:rPr>
          <w:spacing w:val="40"/>
        </w:rPr>
        <w:t xml:space="preserve"> </w:t>
      </w:r>
      <w:r>
        <w:t>not be met.</w:t>
      </w:r>
      <w:r>
        <w:rPr>
          <w:spacing w:val="-1"/>
        </w:rPr>
        <w:t xml:space="preserve"> </w:t>
      </w:r>
      <w:r>
        <w:t>This policy attempts to clarify those circumstances to meet the policy goals. Furthermore, this</w:t>
      </w:r>
      <w:r>
        <w:rPr>
          <w:spacing w:val="-2"/>
        </w:rPr>
        <w:t xml:space="preserve"> </w:t>
      </w:r>
      <w:proofErr w:type="spellStart"/>
      <w:r>
        <w:t>CoSE</w:t>
      </w:r>
      <w:proofErr w:type="spellEnd"/>
      <w:r>
        <w:t xml:space="preserve"> policy seeks</w:t>
      </w:r>
      <w:r>
        <w:rPr>
          <w:spacing w:val="-2"/>
        </w:rPr>
        <w:t xml:space="preserve"> </w:t>
      </w:r>
      <w:r>
        <w:t>to be</w:t>
      </w:r>
      <w:r>
        <w:rPr>
          <w:spacing w:val="-4"/>
        </w:rPr>
        <w:t xml:space="preserve"> </w:t>
      </w:r>
      <w:r>
        <w:t>consistent with</w:t>
      </w:r>
      <w:r>
        <w:rPr>
          <w:spacing w:val="-2"/>
        </w:rPr>
        <w:t xml:space="preserve"> </w:t>
      </w:r>
      <w:r>
        <w:t>the instructional workload definition in II.C that includes “the supervision of student scholarly work and other activities such as advising necessary for students to complete degree and program requirements at ISU.”</w:t>
      </w:r>
    </w:p>
    <w:p w14:paraId="6DF5A064" w14:textId="77777777" w:rsidR="00792BB2" w:rsidRDefault="00792BB2" w:rsidP="00A46D5E">
      <w:pPr>
        <w:pStyle w:val="BodyText"/>
        <w:tabs>
          <w:tab w:val="left" w:pos="1890"/>
        </w:tabs>
        <w:spacing w:before="43"/>
      </w:pPr>
    </w:p>
    <w:p w14:paraId="03171EA2" w14:textId="77777777" w:rsidR="00792BB2" w:rsidRDefault="00D77450" w:rsidP="00A46D5E">
      <w:pPr>
        <w:pStyle w:val="ListParagraph"/>
        <w:numPr>
          <w:ilvl w:val="0"/>
          <w:numId w:val="3"/>
        </w:numPr>
        <w:tabs>
          <w:tab w:val="left" w:pos="1800"/>
          <w:tab w:val="left" w:pos="1890"/>
        </w:tabs>
        <w:ind w:left="1800" w:hanging="734"/>
      </w:pPr>
      <w:proofErr w:type="spellStart"/>
      <w:r>
        <w:t>CoSE</w:t>
      </w:r>
      <w:proofErr w:type="spellEnd"/>
      <w:r>
        <w:rPr>
          <w:spacing w:val="-5"/>
        </w:rPr>
        <w:t xml:space="preserve"> </w:t>
      </w:r>
      <w:r>
        <w:t>will</w:t>
      </w:r>
      <w:r>
        <w:rPr>
          <w:spacing w:val="-5"/>
        </w:rPr>
        <w:t xml:space="preserve"> </w:t>
      </w:r>
      <w:r>
        <w:t>review</w:t>
      </w:r>
      <w:r>
        <w:rPr>
          <w:spacing w:val="-6"/>
        </w:rPr>
        <w:t xml:space="preserve"> </w:t>
      </w:r>
      <w:r>
        <w:t>this</w:t>
      </w:r>
      <w:r>
        <w:rPr>
          <w:spacing w:val="-4"/>
        </w:rPr>
        <w:t xml:space="preserve"> </w:t>
      </w:r>
      <w:r>
        <w:t>supplemental</w:t>
      </w:r>
      <w:r>
        <w:rPr>
          <w:spacing w:val="-6"/>
        </w:rPr>
        <w:t xml:space="preserve"> </w:t>
      </w:r>
      <w:r>
        <w:t>policy</w:t>
      </w:r>
      <w:r>
        <w:rPr>
          <w:spacing w:val="-4"/>
        </w:rPr>
        <w:t xml:space="preserve"> </w:t>
      </w:r>
      <w:r>
        <w:t>within</w:t>
      </w:r>
      <w:r>
        <w:rPr>
          <w:spacing w:val="-7"/>
        </w:rPr>
        <w:t xml:space="preserve"> </w:t>
      </w:r>
      <w:r>
        <w:t>two</w:t>
      </w:r>
      <w:r>
        <w:rPr>
          <w:spacing w:val="-5"/>
        </w:rPr>
        <w:t xml:space="preserve"> </w:t>
      </w:r>
      <w:r>
        <w:t>years</w:t>
      </w:r>
      <w:r>
        <w:rPr>
          <w:spacing w:val="-6"/>
        </w:rPr>
        <w:t xml:space="preserve"> </w:t>
      </w:r>
      <w:r>
        <w:rPr>
          <w:spacing w:val="-5"/>
        </w:rPr>
        <w:t>of</w:t>
      </w:r>
    </w:p>
    <w:p w14:paraId="28FEDB89" w14:textId="77777777" w:rsidR="00792BB2" w:rsidRDefault="00D77450" w:rsidP="00A46D5E">
      <w:pPr>
        <w:pStyle w:val="BodyText"/>
        <w:tabs>
          <w:tab w:val="left" w:pos="1890"/>
        </w:tabs>
        <w:spacing w:before="28" w:line="266" w:lineRule="auto"/>
        <w:ind w:left="1080"/>
      </w:pPr>
      <w:r>
        <w:t>implementation, recognizing that its initial accelerated adoption may lead to unintended outcomes that deserve further attention within the bounds of the authority and responsibility outlined in ISUPP 4090. Faculty members may also request</w:t>
      </w:r>
      <w:r>
        <w:rPr>
          <w:spacing w:val="-5"/>
        </w:rPr>
        <w:t xml:space="preserve"> </w:t>
      </w:r>
      <w:r>
        <w:t>review</w:t>
      </w:r>
      <w:r>
        <w:rPr>
          <w:spacing w:val="-5"/>
        </w:rPr>
        <w:t xml:space="preserve"> </w:t>
      </w:r>
      <w:r>
        <w:t>of</w:t>
      </w:r>
      <w:r>
        <w:rPr>
          <w:spacing w:val="-5"/>
        </w:rPr>
        <w:t xml:space="preserve"> </w:t>
      </w:r>
      <w:r>
        <w:t>this</w:t>
      </w:r>
      <w:r>
        <w:rPr>
          <w:spacing w:val="-3"/>
        </w:rPr>
        <w:t xml:space="preserve"> </w:t>
      </w:r>
      <w:r>
        <w:t>policy</w:t>
      </w:r>
      <w:r>
        <w:rPr>
          <w:spacing w:val="-3"/>
        </w:rPr>
        <w:t xml:space="preserve"> </w:t>
      </w:r>
      <w:r>
        <w:t>to</w:t>
      </w:r>
      <w:r>
        <w:rPr>
          <w:spacing w:val="-6"/>
        </w:rPr>
        <w:t xml:space="preserve"> </w:t>
      </w:r>
      <w:r>
        <w:t>the</w:t>
      </w:r>
      <w:r>
        <w:rPr>
          <w:spacing w:val="-6"/>
        </w:rPr>
        <w:t xml:space="preserve"> </w:t>
      </w:r>
      <w:r>
        <w:t>Department</w:t>
      </w:r>
      <w:r>
        <w:rPr>
          <w:spacing w:val="-2"/>
        </w:rPr>
        <w:t xml:space="preserve"> </w:t>
      </w:r>
      <w:r>
        <w:t>Chair</w:t>
      </w:r>
      <w:r>
        <w:rPr>
          <w:spacing w:val="-3"/>
        </w:rPr>
        <w:t xml:space="preserve"> </w:t>
      </w:r>
      <w:r>
        <w:t>and/or</w:t>
      </w:r>
      <w:r>
        <w:rPr>
          <w:spacing w:val="-3"/>
        </w:rPr>
        <w:t xml:space="preserve"> </w:t>
      </w:r>
      <w:proofErr w:type="spellStart"/>
      <w:r>
        <w:t>CoSE</w:t>
      </w:r>
      <w:proofErr w:type="spellEnd"/>
      <w:r>
        <w:rPr>
          <w:spacing w:val="-4"/>
        </w:rPr>
        <w:t xml:space="preserve"> </w:t>
      </w:r>
      <w:r>
        <w:t>Dean,</w:t>
      </w:r>
      <w:r>
        <w:rPr>
          <w:spacing w:val="-2"/>
        </w:rPr>
        <w:t xml:space="preserve"> </w:t>
      </w:r>
      <w:r>
        <w:t>who</w:t>
      </w:r>
      <w:r>
        <w:rPr>
          <w:spacing w:val="-4"/>
        </w:rPr>
        <w:t xml:space="preserve"> </w:t>
      </w:r>
      <w:r>
        <w:t xml:space="preserve">will refer this request to the </w:t>
      </w:r>
      <w:proofErr w:type="spellStart"/>
      <w:r>
        <w:t>CoSE</w:t>
      </w:r>
      <w:proofErr w:type="spellEnd"/>
      <w:r>
        <w:t xml:space="preserve"> Executive Committee for review consideration.</w:t>
      </w:r>
    </w:p>
    <w:p w14:paraId="5438D077" w14:textId="77777777" w:rsidR="00792BB2" w:rsidRDefault="00D77450">
      <w:pPr>
        <w:pStyle w:val="ListParagraph"/>
        <w:numPr>
          <w:ilvl w:val="0"/>
          <w:numId w:val="3"/>
        </w:numPr>
        <w:tabs>
          <w:tab w:val="left" w:pos="1080"/>
          <w:tab w:val="left" w:pos="1800"/>
        </w:tabs>
        <w:spacing w:before="214" w:line="268" w:lineRule="auto"/>
        <w:ind w:left="1080" w:right="166" w:hanging="15"/>
      </w:pPr>
      <w:r>
        <w:t>A.1-2.</w:t>
      </w:r>
      <w:r>
        <w:rPr>
          <w:spacing w:val="-4"/>
        </w:rPr>
        <w:t xml:space="preserve"> </w:t>
      </w:r>
      <w:proofErr w:type="spellStart"/>
      <w:r>
        <w:t>CoSE</w:t>
      </w:r>
      <w:proofErr w:type="spellEnd"/>
      <w:r>
        <w:rPr>
          <w:spacing w:val="-3"/>
        </w:rPr>
        <w:t xml:space="preserve"> </w:t>
      </w:r>
      <w:r>
        <w:t>recognizes</w:t>
      </w:r>
      <w:r>
        <w:rPr>
          <w:spacing w:val="-5"/>
        </w:rPr>
        <w:t xml:space="preserve"> </w:t>
      </w:r>
      <w:r>
        <w:t>that</w:t>
      </w:r>
      <w:r>
        <w:rPr>
          <w:spacing w:val="-4"/>
        </w:rPr>
        <w:t xml:space="preserve"> </w:t>
      </w:r>
      <w:r>
        <w:t>although</w:t>
      </w:r>
      <w:r>
        <w:rPr>
          <w:spacing w:val="-3"/>
        </w:rPr>
        <w:t xml:space="preserve"> </w:t>
      </w:r>
      <w:r>
        <w:t>it</w:t>
      </w:r>
      <w:r>
        <w:rPr>
          <w:spacing w:val="-4"/>
        </w:rPr>
        <w:t xml:space="preserve"> </w:t>
      </w:r>
      <w:r>
        <w:t>may</w:t>
      </w:r>
      <w:r>
        <w:rPr>
          <w:spacing w:val="-3"/>
        </w:rPr>
        <w:t xml:space="preserve"> </w:t>
      </w:r>
      <w:r>
        <w:t>be</w:t>
      </w:r>
      <w:r>
        <w:rPr>
          <w:spacing w:val="-5"/>
        </w:rPr>
        <w:t xml:space="preserve"> </w:t>
      </w:r>
      <w:r>
        <w:t>difficult</w:t>
      </w:r>
      <w:r>
        <w:rPr>
          <w:spacing w:val="-1"/>
        </w:rPr>
        <w:t xml:space="preserve"> </w:t>
      </w:r>
      <w:r>
        <w:t>to</w:t>
      </w:r>
      <w:r>
        <w:rPr>
          <w:spacing w:val="-2"/>
        </w:rPr>
        <w:t xml:space="preserve"> </w:t>
      </w:r>
      <w:r>
        <w:t>apply</w:t>
      </w:r>
      <w:r>
        <w:rPr>
          <w:spacing w:val="-2"/>
        </w:rPr>
        <w:t xml:space="preserve"> </w:t>
      </w:r>
      <w:r>
        <w:t>a</w:t>
      </w:r>
      <w:r>
        <w:rPr>
          <w:spacing w:val="-5"/>
        </w:rPr>
        <w:t xml:space="preserve"> </w:t>
      </w:r>
      <w:r>
        <w:t xml:space="preserve">single policy to every </w:t>
      </w:r>
      <w:proofErr w:type="spellStart"/>
      <w:r>
        <w:t>CoSE</w:t>
      </w:r>
      <w:proofErr w:type="spellEnd"/>
      <w:r>
        <w:t xml:space="preserve"> department, this supplement will be used to ensure flexibility in a procedure by which </w:t>
      </w:r>
      <w:proofErr w:type="spellStart"/>
      <w:r>
        <w:t>CoSE</w:t>
      </w:r>
      <w:proofErr w:type="spellEnd"/>
      <w:r>
        <w:t xml:space="preserve"> Workload expectations can be clearly determined and documented. Section IV.H.1.C details examples of deviations from defaults that may be applicable across </w:t>
      </w:r>
      <w:proofErr w:type="spellStart"/>
      <w:r>
        <w:t>CoSE</w:t>
      </w:r>
      <w:proofErr w:type="spellEnd"/>
      <w:r>
        <w:t>.</w:t>
      </w:r>
    </w:p>
    <w:p w14:paraId="22A250D4" w14:textId="77777777" w:rsidR="00792BB2" w:rsidRDefault="00792BB2">
      <w:pPr>
        <w:pStyle w:val="ListParagraph"/>
        <w:spacing w:line="268" w:lineRule="auto"/>
        <w:sectPr w:rsidR="00792BB2" w:rsidSect="00A46D5E">
          <w:type w:val="continuous"/>
          <w:pgSz w:w="12240" w:h="15840"/>
          <w:pgMar w:top="1440" w:right="1440" w:bottom="1440" w:left="1440" w:header="720" w:footer="720" w:gutter="0"/>
          <w:cols w:space="720"/>
          <w:docGrid w:linePitch="299"/>
        </w:sectPr>
      </w:pPr>
    </w:p>
    <w:p w14:paraId="4803A88F" w14:textId="77777777" w:rsidR="00792BB2" w:rsidRDefault="00D77450">
      <w:pPr>
        <w:pStyle w:val="BodyText"/>
        <w:tabs>
          <w:tab w:val="left" w:pos="1610"/>
        </w:tabs>
        <w:spacing w:before="70" w:line="266" w:lineRule="auto"/>
        <w:ind w:left="1075" w:right="84" w:hanging="10"/>
      </w:pPr>
      <w:r>
        <w:rPr>
          <w:spacing w:val="-4"/>
        </w:rPr>
        <w:lastRenderedPageBreak/>
        <w:t>IV.</w:t>
      </w:r>
      <w:r>
        <w:tab/>
        <w:t xml:space="preserve">A.3. The Office of the </w:t>
      </w:r>
      <w:proofErr w:type="spellStart"/>
      <w:r>
        <w:t>CoSE</w:t>
      </w:r>
      <w:proofErr w:type="spellEnd"/>
      <w:r>
        <w:t xml:space="preserve"> Dean will rely on Department Chairs and Heads</w:t>
      </w:r>
      <w:r>
        <w:rPr>
          <w:spacing w:val="-3"/>
        </w:rPr>
        <w:t xml:space="preserve"> </w:t>
      </w:r>
      <w:r>
        <w:t>to</w:t>
      </w:r>
      <w:r>
        <w:rPr>
          <w:spacing w:val="-5"/>
        </w:rPr>
        <w:t xml:space="preserve"> </w:t>
      </w:r>
      <w:r>
        <w:t>compile</w:t>
      </w:r>
      <w:r>
        <w:rPr>
          <w:spacing w:val="-5"/>
        </w:rPr>
        <w:t xml:space="preserve"> </w:t>
      </w:r>
      <w:r>
        <w:t>tentative</w:t>
      </w:r>
      <w:r>
        <w:rPr>
          <w:spacing w:val="-3"/>
        </w:rPr>
        <w:t xml:space="preserve"> </w:t>
      </w:r>
      <w:r>
        <w:t>individual</w:t>
      </w:r>
      <w:r>
        <w:rPr>
          <w:spacing w:val="-4"/>
        </w:rPr>
        <w:t xml:space="preserve"> </w:t>
      </w:r>
      <w:r>
        <w:t>Faculty</w:t>
      </w:r>
      <w:r>
        <w:rPr>
          <w:spacing w:val="-2"/>
        </w:rPr>
        <w:t xml:space="preserve"> </w:t>
      </w:r>
      <w:r>
        <w:t>workload</w:t>
      </w:r>
      <w:r>
        <w:rPr>
          <w:spacing w:val="-3"/>
        </w:rPr>
        <w:t xml:space="preserve"> </w:t>
      </w:r>
      <w:r>
        <w:t>plans</w:t>
      </w:r>
      <w:r>
        <w:rPr>
          <w:spacing w:val="-2"/>
        </w:rPr>
        <w:t xml:space="preserve"> </w:t>
      </w:r>
      <w:r>
        <w:t>on</w:t>
      </w:r>
      <w:r>
        <w:rPr>
          <w:spacing w:val="-3"/>
        </w:rPr>
        <w:t xml:space="preserve"> </w:t>
      </w:r>
      <w:r>
        <w:t>an</w:t>
      </w:r>
      <w:r>
        <w:rPr>
          <w:spacing w:val="-5"/>
        </w:rPr>
        <w:t xml:space="preserve"> </w:t>
      </w:r>
      <w:r>
        <w:t>annual</w:t>
      </w:r>
      <w:r>
        <w:rPr>
          <w:spacing w:val="-6"/>
        </w:rPr>
        <w:t xml:space="preserve"> </w:t>
      </w:r>
      <w:r>
        <w:t xml:space="preserve">basis, with input from the respective Faculty member. Upon approval by the </w:t>
      </w:r>
      <w:proofErr w:type="spellStart"/>
      <w:r>
        <w:t>CoSE</w:t>
      </w:r>
      <w:proofErr w:type="spellEnd"/>
      <w:r>
        <w:t xml:space="preserve"> Dean, this information will be forwarded to the Provost’s Office annually, and available to ISU Faculty and Staff via inquiry to the </w:t>
      </w:r>
      <w:proofErr w:type="spellStart"/>
      <w:r>
        <w:t>CoSE</w:t>
      </w:r>
      <w:proofErr w:type="spellEnd"/>
      <w:r>
        <w:t xml:space="preserve"> Dean’s office.</w:t>
      </w:r>
    </w:p>
    <w:p w14:paraId="4F666418" w14:textId="77777777" w:rsidR="00792BB2" w:rsidRDefault="00D77450">
      <w:pPr>
        <w:pStyle w:val="BodyText"/>
        <w:tabs>
          <w:tab w:val="left" w:pos="1610"/>
        </w:tabs>
        <w:spacing w:before="216"/>
        <w:ind w:left="1066"/>
      </w:pPr>
      <w:r>
        <w:rPr>
          <w:spacing w:val="-5"/>
        </w:rPr>
        <w:t>IV.</w:t>
      </w:r>
      <w:r>
        <w:tab/>
        <w:t>A.4.</w:t>
      </w:r>
      <w:r>
        <w:rPr>
          <w:spacing w:val="-6"/>
        </w:rPr>
        <w:t xml:space="preserve"> </w:t>
      </w:r>
      <w:r>
        <w:t>No</w:t>
      </w:r>
      <w:r>
        <w:rPr>
          <w:spacing w:val="-9"/>
        </w:rPr>
        <w:t xml:space="preserve"> </w:t>
      </w:r>
      <w:r>
        <w:t>supplemental</w:t>
      </w:r>
      <w:r>
        <w:rPr>
          <w:spacing w:val="-8"/>
        </w:rPr>
        <w:t xml:space="preserve"> </w:t>
      </w:r>
      <w:r>
        <w:t>information</w:t>
      </w:r>
      <w:r>
        <w:rPr>
          <w:spacing w:val="-7"/>
        </w:rPr>
        <w:t xml:space="preserve"> </w:t>
      </w:r>
      <w:r>
        <w:rPr>
          <w:spacing w:val="-2"/>
        </w:rPr>
        <w:t>required.</w:t>
      </w:r>
    </w:p>
    <w:p w14:paraId="261AC702" w14:textId="77777777" w:rsidR="00792BB2" w:rsidRDefault="00D77450">
      <w:pPr>
        <w:pStyle w:val="BodyText"/>
        <w:tabs>
          <w:tab w:val="left" w:pos="1610"/>
        </w:tabs>
        <w:spacing w:before="241" w:line="268" w:lineRule="auto"/>
        <w:ind w:left="1075" w:right="226" w:hanging="10"/>
      </w:pPr>
      <w:r>
        <w:rPr>
          <w:spacing w:val="-4"/>
        </w:rPr>
        <w:t>IV.</w:t>
      </w:r>
      <w:r>
        <w:tab/>
        <w:t>A.5-6.</w:t>
      </w:r>
      <w:r>
        <w:rPr>
          <w:spacing w:val="-16"/>
        </w:rPr>
        <w:t xml:space="preserve"> </w:t>
      </w:r>
      <w:r>
        <w:t>Aspects</w:t>
      </w:r>
      <w:r>
        <w:rPr>
          <w:spacing w:val="-3"/>
        </w:rPr>
        <w:t xml:space="preserve"> </w:t>
      </w:r>
      <w:r>
        <w:t>of</w:t>
      </w:r>
      <w:r>
        <w:rPr>
          <w:spacing w:val="-5"/>
        </w:rPr>
        <w:t xml:space="preserve"> </w:t>
      </w:r>
      <w:r>
        <w:t>the</w:t>
      </w:r>
      <w:r>
        <w:rPr>
          <w:spacing w:val="-4"/>
        </w:rPr>
        <w:t xml:space="preserve"> </w:t>
      </w:r>
      <w:r>
        <w:t>Instructional</w:t>
      </w:r>
      <w:r>
        <w:rPr>
          <w:spacing w:val="-5"/>
        </w:rPr>
        <w:t xml:space="preserve"> </w:t>
      </w:r>
      <w:r>
        <w:t>Workload</w:t>
      </w:r>
      <w:r>
        <w:rPr>
          <w:spacing w:val="-6"/>
        </w:rPr>
        <w:t xml:space="preserve"> </w:t>
      </w:r>
      <w:r>
        <w:t>that</w:t>
      </w:r>
      <w:r>
        <w:rPr>
          <w:spacing w:val="-5"/>
        </w:rPr>
        <w:t xml:space="preserve"> </w:t>
      </w:r>
      <w:r>
        <w:t>are</w:t>
      </w:r>
      <w:r>
        <w:rPr>
          <w:spacing w:val="-6"/>
        </w:rPr>
        <w:t xml:space="preserve"> </w:t>
      </w:r>
      <w:r>
        <w:t>not</w:t>
      </w:r>
      <w:r>
        <w:rPr>
          <w:spacing w:val="-5"/>
        </w:rPr>
        <w:t xml:space="preserve"> </w:t>
      </w:r>
      <w:r>
        <w:t>encompassed</w:t>
      </w:r>
      <w:r>
        <w:rPr>
          <w:spacing w:val="-4"/>
        </w:rPr>
        <w:t xml:space="preserve"> </w:t>
      </w:r>
      <w:r>
        <w:t xml:space="preserve">by the default teaching role or addressed in section IV.F or IV.H, may be recommended to the </w:t>
      </w:r>
      <w:proofErr w:type="spellStart"/>
      <w:r>
        <w:t>CoSE</w:t>
      </w:r>
      <w:proofErr w:type="spellEnd"/>
      <w:r>
        <w:t xml:space="preserve"> Dean for future consideration.</w:t>
      </w:r>
    </w:p>
    <w:p w14:paraId="6C516CD8" w14:textId="77777777" w:rsidR="00792BB2" w:rsidRDefault="00792BB2">
      <w:pPr>
        <w:pStyle w:val="BodyText"/>
        <w:spacing w:before="42"/>
      </w:pPr>
    </w:p>
    <w:p w14:paraId="0AC98180" w14:textId="77777777" w:rsidR="00792BB2" w:rsidRDefault="00D77450">
      <w:pPr>
        <w:pStyle w:val="BodyText"/>
        <w:tabs>
          <w:tab w:val="left" w:pos="1610"/>
        </w:tabs>
        <w:spacing w:line="268" w:lineRule="auto"/>
        <w:ind w:left="1075" w:right="197" w:hanging="10"/>
      </w:pPr>
      <w:r>
        <w:rPr>
          <w:spacing w:val="-4"/>
        </w:rPr>
        <w:t>IV.</w:t>
      </w:r>
      <w:r>
        <w:tab/>
        <w:t>A.7.</w:t>
      </w:r>
      <w:r>
        <w:rPr>
          <w:spacing w:val="-1"/>
        </w:rPr>
        <w:t xml:space="preserve"> </w:t>
      </w:r>
      <w:r>
        <w:t>Professional</w:t>
      </w:r>
      <w:r>
        <w:rPr>
          <w:spacing w:val="-4"/>
        </w:rPr>
        <w:t xml:space="preserve"> </w:t>
      </w:r>
      <w:r>
        <w:t>Service</w:t>
      </w:r>
      <w:r>
        <w:rPr>
          <w:spacing w:val="-3"/>
        </w:rPr>
        <w:t xml:space="preserve"> </w:t>
      </w:r>
      <w:r>
        <w:t>as</w:t>
      </w:r>
      <w:r>
        <w:rPr>
          <w:spacing w:val="-5"/>
        </w:rPr>
        <w:t xml:space="preserve"> </w:t>
      </w:r>
      <w:r>
        <w:t>defined</w:t>
      </w:r>
      <w:r>
        <w:rPr>
          <w:spacing w:val="-3"/>
        </w:rPr>
        <w:t xml:space="preserve"> </w:t>
      </w:r>
      <w:r>
        <w:t>in</w:t>
      </w:r>
      <w:r>
        <w:rPr>
          <w:spacing w:val="-5"/>
        </w:rPr>
        <w:t xml:space="preserve"> </w:t>
      </w:r>
      <w:r>
        <w:t>section</w:t>
      </w:r>
      <w:r>
        <w:rPr>
          <w:spacing w:val="-3"/>
        </w:rPr>
        <w:t xml:space="preserve"> </w:t>
      </w:r>
      <w:r>
        <w:t>II.E.1</w:t>
      </w:r>
      <w:r>
        <w:rPr>
          <w:spacing w:val="-5"/>
        </w:rPr>
        <w:t xml:space="preserve"> </w:t>
      </w:r>
      <w:r>
        <w:t>may</w:t>
      </w:r>
      <w:r>
        <w:rPr>
          <w:spacing w:val="-3"/>
        </w:rPr>
        <w:t xml:space="preserve"> </w:t>
      </w:r>
      <w:r>
        <w:t>overlap</w:t>
      </w:r>
      <w:r>
        <w:rPr>
          <w:spacing w:val="-3"/>
        </w:rPr>
        <w:t xml:space="preserve"> </w:t>
      </w:r>
      <w:r>
        <w:t>in</w:t>
      </w:r>
      <w:r>
        <w:rPr>
          <w:spacing w:val="-5"/>
        </w:rPr>
        <w:t xml:space="preserve"> </w:t>
      </w:r>
      <w:r>
        <w:t>some cases with Instructional and/or Scholarly Workload, and should only be accounted for once; it may be pro-rated among categories, as agreed upon by the Department Chair and Faculty member.</w:t>
      </w:r>
    </w:p>
    <w:p w14:paraId="6F79B5AF" w14:textId="77777777" w:rsidR="00792BB2" w:rsidRDefault="00792BB2">
      <w:pPr>
        <w:pStyle w:val="BodyText"/>
        <w:spacing w:before="47"/>
      </w:pPr>
    </w:p>
    <w:p w14:paraId="2B3BDE88" w14:textId="77777777" w:rsidR="00792BB2" w:rsidRDefault="00D77450">
      <w:pPr>
        <w:pStyle w:val="ListParagraph"/>
        <w:numPr>
          <w:ilvl w:val="0"/>
          <w:numId w:val="2"/>
        </w:numPr>
        <w:tabs>
          <w:tab w:val="left" w:pos="1075"/>
          <w:tab w:val="left" w:pos="1632"/>
        </w:tabs>
        <w:spacing w:line="268" w:lineRule="auto"/>
        <w:ind w:right="33" w:hanging="10"/>
      </w:pPr>
      <w:r>
        <w:t>B-G.</w:t>
      </w:r>
      <w:r>
        <w:rPr>
          <w:spacing w:val="40"/>
        </w:rPr>
        <w:t xml:space="preserve"> </w:t>
      </w:r>
      <w:r>
        <w:t>Workload</w:t>
      </w:r>
      <w:r>
        <w:rPr>
          <w:spacing w:val="-2"/>
        </w:rPr>
        <w:t xml:space="preserve"> </w:t>
      </w:r>
      <w:r>
        <w:t>expectations</w:t>
      </w:r>
      <w:r>
        <w:rPr>
          <w:spacing w:val="-2"/>
        </w:rPr>
        <w:t xml:space="preserve"> </w:t>
      </w:r>
      <w:r>
        <w:t xml:space="preserve">for </w:t>
      </w:r>
      <w:proofErr w:type="spellStart"/>
      <w:r>
        <w:t>CoSE</w:t>
      </w:r>
      <w:proofErr w:type="spellEnd"/>
      <w:r>
        <w:rPr>
          <w:spacing w:val="-2"/>
        </w:rPr>
        <w:t xml:space="preserve"> </w:t>
      </w:r>
      <w:r>
        <w:t>may</w:t>
      </w:r>
      <w:r>
        <w:rPr>
          <w:spacing w:val="-2"/>
        </w:rPr>
        <w:t xml:space="preserve"> </w:t>
      </w:r>
      <w:r>
        <w:t>be</w:t>
      </w:r>
      <w:r>
        <w:rPr>
          <w:spacing w:val="-2"/>
        </w:rPr>
        <w:t xml:space="preserve"> </w:t>
      </w:r>
      <w:r>
        <w:t>most</w:t>
      </w:r>
      <w:r>
        <w:rPr>
          <w:spacing w:val="-1"/>
        </w:rPr>
        <w:t xml:space="preserve"> </w:t>
      </w:r>
      <w:r>
        <w:t>clearly</w:t>
      </w:r>
      <w:r>
        <w:rPr>
          <w:spacing w:val="-2"/>
        </w:rPr>
        <w:t xml:space="preserve"> </w:t>
      </w:r>
      <w:r>
        <w:t>calculated as a balance among all workload activities on an annual rather than term-by-term basis. This timeframe better accommodates complex needs, including course enrollment demands at the department level. To the extent possible, approvals for modified Workload Distributions will be granted on a timeline consistent with external grant agency decisions to enhance predictability of time commitments for</w:t>
      </w:r>
      <w:r>
        <w:rPr>
          <w:spacing w:val="-7"/>
        </w:rPr>
        <w:t xml:space="preserve"> </w:t>
      </w:r>
      <w:r>
        <w:t>individual</w:t>
      </w:r>
      <w:r>
        <w:rPr>
          <w:spacing w:val="-7"/>
        </w:rPr>
        <w:t xml:space="preserve"> </w:t>
      </w:r>
      <w:proofErr w:type="spellStart"/>
      <w:r>
        <w:t>CoSE</w:t>
      </w:r>
      <w:proofErr w:type="spellEnd"/>
      <w:r>
        <w:rPr>
          <w:spacing w:val="-6"/>
        </w:rPr>
        <w:t xml:space="preserve"> </w:t>
      </w:r>
      <w:r>
        <w:t>Faculty.</w:t>
      </w:r>
      <w:r>
        <w:rPr>
          <w:spacing w:val="-4"/>
        </w:rPr>
        <w:t xml:space="preserve"> </w:t>
      </w:r>
      <w:r>
        <w:t>Unless</w:t>
      </w:r>
      <w:r>
        <w:rPr>
          <w:spacing w:val="-8"/>
        </w:rPr>
        <w:t xml:space="preserve"> </w:t>
      </w:r>
      <w:r>
        <w:t>there</w:t>
      </w:r>
      <w:r>
        <w:rPr>
          <w:spacing w:val="-6"/>
        </w:rPr>
        <w:t xml:space="preserve"> </w:t>
      </w:r>
      <w:r>
        <w:t>are</w:t>
      </w:r>
      <w:r>
        <w:rPr>
          <w:spacing w:val="-6"/>
        </w:rPr>
        <w:t xml:space="preserve"> </w:t>
      </w:r>
      <w:r>
        <w:t>alternate</w:t>
      </w:r>
      <w:r>
        <w:rPr>
          <w:spacing w:val="-6"/>
        </w:rPr>
        <w:t xml:space="preserve"> </w:t>
      </w:r>
      <w:r>
        <w:t>stipulations</w:t>
      </w:r>
      <w:r>
        <w:rPr>
          <w:spacing w:val="-6"/>
        </w:rPr>
        <w:t xml:space="preserve"> </w:t>
      </w:r>
      <w:r>
        <w:t>in</w:t>
      </w:r>
      <w:r>
        <w:rPr>
          <w:spacing w:val="-6"/>
        </w:rPr>
        <w:t xml:space="preserve"> </w:t>
      </w:r>
      <w:r>
        <w:t>offer</w:t>
      </w:r>
      <w:r>
        <w:rPr>
          <w:spacing w:val="-7"/>
        </w:rPr>
        <w:t xml:space="preserve"> </w:t>
      </w:r>
      <w:r>
        <w:t>letters, position descriptions, and contracts, workload for all Faculty, will follow the WEU allocation guidelines articulated in this supplement to ISUPP 4090.</w:t>
      </w:r>
    </w:p>
    <w:p w14:paraId="32D4C6DF" w14:textId="77777777" w:rsidR="00792BB2" w:rsidRDefault="00792BB2">
      <w:pPr>
        <w:pStyle w:val="BodyText"/>
        <w:spacing w:before="36"/>
      </w:pPr>
    </w:p>
    <w:p w14:paraId="27DE2D15" w14:textId="77777777" w:rsidR="00792BB2" w:rsidRDefault="00D77450">
      <w:pPr>
        <w:pStyle w:val="BodyText"/>
        <w:spacing w:before="1"/>
        <w:ind w:left="1066"/>
      </w:pPr>
      <w:r>
        <w:t>Instructional</w:t>
      </w:r>
      <w:r>
        <w:rPr>
          <w:spacing w:val="-9"/>
        </w:rPr>
        <w:t xml:space="preserve"> </w:t>
      </w:r>
      <w:r>
        <w:t>WEU’s</w:t>
      </w:r>
      <w:r>
        <w:rPr>
          <w:spacing w:val="-4"/>
        </w:rPr>
        <w:t xml:space="preserve"> </w:t>
      </w:r>
      <w:r>
        <w:t>will</w:t>
      </w:r>
      <w:r>
        <w:rPr>
          <w:spacing w:val="-9"/>
        </w:rPr>
        <w:t xml:space="preserve"> </w:t>
      </w:r>
      <w:r>
        <w:t>be</w:t>
      </w:r>
      <w:r>
        <w:rPr>
          <w:spacing w:val="-5"/>
        </w:rPr>
        <w:t xml:space="preserve"> </w:t>
      </w:r>
      <w:r>
        <w:t>calculated</w:t>
      </w:r>
      <w:r>
        <w:rPr>
          <w:spacing w:val="-8"/>
        </w:rPr>
        <w:t xml:space="preserve"> </w:t>
      </w:r>
      <w:r>
        <w:t>for</w:t>
      </w:r>
      <w:r>
        <w:rPr>
          <w:spacing w:val="-6"/>
        </w:rPr>
        <w:t xml:space="preserve"> </w:t>
      </w:r>
      <w:r>
        <w:t>each</w:t>
      </w:r>
      <w:r>
        <w:rPr>
          <w:spacing w:val="-7"/>
        </w:rPr>
        <w:t xml:space="preserve"> </w:t>
      </w:r>
      <w:r>
        <w:rPr>
          <w:spacing w:val="-2"/>
        </w:rPr>
        <w:t>course.</w:t>
      </w:r>
    </w:p>
    <w:p w14:paraId="117450D4" w14:textId="77777777" w:rsidR="00792BB2" w:rsidRDefault="00792BB2">
      <w:pPr>
        <w:pStyle w:val="BodyText"/>
        <w:spacing w:before="77"/>
      </w:pPr>
    </w:p>
    <w:p w14:paraId="364D9275" w14:textId="77777777" w:rsidR="00792BB2" w:rsidRDefault="00D77450">
      <w:pPr>
        <w:pStyle w:val="ListParagraph"/>
        <w:numPr>
          <w:ilvl w:val="1"/>
          <w:numId w:val="2"/>
        </w:numPr>
        <w:tabs>
          <w:tab w:val="left" w:pos="1798"/>
          <w:tab w:val="left" w:pos="1800"/>
        </w:tabs>
        <w:spacing w:line="268" w:lineRule="auto"/>
        <w:ind w:right="50"/>
        <w:jc w:val="both"/>
      </w:pPr>
      <w:r>
        <w:t>Each department will, in</w:t>
      </w:r>
      <w:r>
        <w:rPr>
          <w:spacing w:val="-2"/>
        </w:rPr>
        <w:t xml:space="preserve"> </w:t>
      </w:r>
      <w:r>
        <w:t>consultation with</w:t>
      </w:r>
      <w:r>
        <w:rPr>
          <w:spacing w:val="-2"/>
        </w:rPr>
        <w:t xml:space="preserve"> </w:t>
      </w:r>
      <w:r>
        <w:t>faculty</w:t>
      </w:r>
      <w:r>
        <w:rPr>
          <w:spacing w:val="-2"/>
        </w:rPr>
        <w:t xml:space="preserve"> </w:t>
      </w:r>
      <w:r>
        <w:t>and Chairs or Directors, submit</w:t>
      </w:r>
      <w:r>
        <w:rPr>
          <w:spacing w:val="-3"/>
        </w:rPr>
        <w:t xml:space="preserve"> </w:t>
      </w:r>
      <w:r>
        <w:t>a</w:t>
      </w:r>
      <w:r>
        <w:rPr>
          <w:spacing w:val="-2"/>
        </w:rPr>
        <w:t xml:space="preserve"> </w:t>
      </w:r>
      <w:r>
        <w:t>list</w:t>
      </w:r>
      <w:r>
        <w:rPr>
          <w:spacing w:val="-3"/>
        </w:rPr>
        <w:t xml:space="preserve"> </w:t>
      </w:r>
      <w:r>
        <w:t>of</w:t>
      </w:r>
      <w:r>
        <w:rPr>
          <w:spacing w:val="-3"/>
        </w:rPr>
        <w:t xml:space="preserve"> </w:t>
      </w:r>
      <w:r>
        <w:t>courses</w:t>
      </w:r>
      <w:r>
        <w:rPr>
          <w:spacing w:val="-1"/>
        </w:rPr>
        <w:t xml:space="preserve"> </w:t>
      </w:r>
      <w:r>
        <w:t>converted</w:t>
      </w:r>
      <w:r>
        <w:rPr>
          <w:spacing w:val="-4"/>
        </w:rPr>
        <w:t xml:space="preserve"> </w:t>
      </w:r>
      <w:r>
        <w:t>to</w:t>
      </w:r>
      <w:r>
        <w:rPr>
          <w:spacing w:val="-4"/>
        </w:rPr>
        <w:t xml:space="preserve"> </w:t>
      </w:r>
      <w:r>
        <w:t>WEU</w:t>
      </w:r>
      <w:r>
        <w:rPr>
          <w:spacing w:val="-5"/>
        </w:rPr>
        <w:t xml:space="preserve"> </w:t>
      </w:r>
      <w:r>
        <w:t>to</w:t>
      </w:r>
      <w:r>
        <w:rPr>
          <w:spacing w:val="-4"/>
        </w:rPr>
        <w:t xml:space="preserve"> </w:t>
      </w:r>
      <w:r>
        <w:t>the</w:t>
      </w:r>
      <w:r>
        <w:rPr>
          <w:spacing w:val="-7"/>
        </w:rPr>
        <w:t xml:space="preserve"> </w:t>
      </w:r>
      <w:proofErr w:type="spellStart"/>
      <w:r>
        <w:t>CoSE</w:t>
      </w:r>
      <w:proofErr w:type="spellEnd"/>
      <w:r>
        <w:rPr>
          <w:spacing w:val="-2"/>
        </w:rPr>
        <w:t xml:space="preserve"> </w:t>
      </w:r>
      <w:r>
        <w:t>Dean.</w:t>
      </w:r>
      <w:r>
        <w:rPr>
          <w:spacing w:val="-5"/>
        </w:rPr>
        <w:t xml:space="preserve"> </w:t>
      </w:r>
      <w:r>
        <w:t>This</w:t>
      </w:r>
      <w:r>
        <w:rPr>
          <w:spacing w:val="-1"/>
        </w:rPr>
        <w:t xml:space="preserve"> </w:t>
      </w:r>
      <w:r>
        <w:t>list</w:t>
      </w:r>
      <w:r>
        <w:rPr>
          <w:spacing w:val="-1"/>
        </w:rPr>
        <w:t xml:space="preserve"> </w:t>
      </w:r>
      <w:r>
        <w:t xml:space="preserve">will be approved by the </w:t>
      </w:r>
      <w:proofErr w:type="spellStart"/>
      <w:r>
        <w:t>CoSE</w:t>
      </w:r>
      <w:proofErr w:type="spellEnd"/>
      <w:r>
        <w:t xml:space="preserve"> Dean and Provost.</w:t>
      </w:r>
    </w:p>
    <w:p w14:paraId="58F86A3E" w14:textId="77777777" w:rsidR="00792BB2" w:rsidRDefault="00792BB2">
      <w:pPr>
        <w:pStyle w:val="BodyText"/>
        <w:spacing w:before="46"/>
      </w:pPr>
    </w:p>
    <w:p w14:paraId="4D10C143" w14:textId="77777777" w:rsidR="00792BB2" w:rsidRDefault="00D77450">
      <w:pPr>
        <w:pStyle w:val="ListParagraph"/>
        <w:numPr>
          <w:ilvl w:val="1"/>
          <w:numId w:val="2"/>
        </w:numPr>
        <w:tabs>
          <w:tab w:val="left" w:pos="1798"/>
          <w:tab w:val="left" w:pos="1800"/>
        </w:tabs>
        <w:spacing w:line="268" w:lineRule="auto"/>
        <w:ind w:right="322"/>
      </w:pPr>
      <w:r>
        <w:t>Factors</w:t>
      </w:r>
      <w:r>
        <w:rPr>
          <w:spacing w:val="-5"/>
        </w:rPr>
        <w:t xml:space="preserve"> </w:t>
      </w:r>
      <w:r>
        <w:t>that</w:t>
      </w:r>
      <w:r>
        <w:rPr>
          <w:spacing w:val="-5"/>
        </w:rPr>
        <w:t xml:space="preserve"> </w:t>
      </w:r>
      <w:r>
        <w:t>may</w:t>
      </w:r>
      <w:r>
        <w:rPr>
          <w:spacing w:val="-6"/>
        </w:rPr>
        <w:t xml:space="preserve"> </w:t>
      </w:r>
      <w:r>
        <w:t>initiate</w:t>
      </w:r>
      <w:r>
        <w:rPr>
          <w:spacing w:val="-5"/>
        </w:rPr>
        <w:t xml:space="preserve"> </w:t>
      </w:r>
      <w:r>
        <w:t>additional</w:t>
      </w:r>
      <w:r>
        <w:rPr>
          <w:spacing w:val="-5"/>
        </w:rPr>
        <w:t xml:space="preserve"> </w:t>
      </w:r>
      <w:r>
        <w:t>conversation</w:t>
      </w:r>
      <w:r>
        <w:rPr>
          <w:spacing w:val="-4"/>
        </w:rPr>
        <w:t xml:space="preserve"> </w:t>
      </w:r>
      <w:r>
        <w:t>regarding</w:t>
      </w:r>
      <w:r>
        <w:rPr>
          <w:spacing w:val="-4"/>
        </w:rPr>
        <w:t xml:space="preserve"> </w:t>
      </w:r>
      <w:r>
        <w:t>instructional WEU include:</w:t>
      </w:r>
    </w:p>
    <w:p w14:paraId="16D30108" w14:textId="77777777" w:rsidR="00792BB2" w:rsidRDefault="00D77450">
      <w:pPr>
        <w:pStyle w:val="ListParagraph"/>
        <w:numPr>
          <w:ilvl w:val="2"/>
          <w:numId w:val="2"/>
        </w:numPr>
        <w:tabs>
          <w:tab w:val="left" w:pos="2568"/>
        </w:tabs>
        <w:spacing w:before="10"/>
        <w:ind w:left="2568" w:hanging="590"/>
      </w:pPr>
      <w:r>
        <w:t>The</w:t>
      </w:r>
      <w:r>
        <w:rPr>
          <w:spacing w:val="-4"/>
        </w:rPr>
        <w:t xml:space="preserve"> </w:t>
      </w:r>
      <w:r>
        <w:t>number</w:t>
      </w:r>
      <w:r>
        <w:rPr>
          <w:spacing w:val="-2"/>
        </w:rPr>
        <w:t xml:space="preserve"> </w:t>
      </w:r>
      <w:r>
        <w:t>of</w:t>
      </w:r>
      <w:r>
        <w:rPr>
          <w:spacing w:val="-1"/>
        </w:rPr>
        <w:t xml:space="preserve"> </w:t>
      </w:r>
      <w:r>
        <w:rPr>
          <w:spacing w:val="-2"/>
        </w:rPr>
        <w:t>students.</w:t>
      </w:r>
    </w:p>
    <w:p w14:paraId="37DB53A4" w14:textId="77777777" w:rsidR="00792BB2" w:rsidRDefault="00D77450">
      <w:pPr>
        <w:pStyle w:val="ListParagraph"/>
        <w:numPr>
          <w:ilvl w:val="2"/>
          <w:numId w:val="2"/>
        </w:numPr>
        <w:tabs>
          <w:tab w:val="left" w:pos="2568"/>
        </w:tabs>
        <w:spacing w:before="40"/>
        <w:ind w:left="2568" w:hanging="590"/>
      </w:pPr>
      <w:r>
        <w:t>The</w:t>
      </w:r>
      <w:r>
        <w:rPr>
          <w:spacing w:val="-7"/>
        </w:rPr>
        <w:t xml:space="preserve"> </w:t>
      </w:r>
      <w:r>
        <w:t>modality</w:t>
      </w:r>
      <w:r>
        <w:rPr>
          <w:spacing w:val="-8"/>
        </w:rPr>
        <w:t xml:space="preserve"> </w:t>
      </w:r>
      <w:r>
        <w:t>of</w:t>
      </w:r>
      <w:r>
        <w:rPr>
          <w:spacing w:val="-7"/>
        </w:rPr>
        <w:t xml:space="preserve"> </w:t>
      </w:r>
      <w:r>
        <w:t>instruction:</w:t>
      </w:r>
      <w:r>
        <w:rPr>
          <w:spacing w:val="-5"/>
        </w:rPr>
        <w:t xml:space="preserve"> </w:t>
      </w:r>
      <w:r>
        <w:t>in-person,</w:t>
      </w:r>
      <w:r>
        <w:rPr>
          <w:spacing w:val="-7"/>
        </w:rPr>
        <w:t xml:space="preserve"> </w:t>
      </w:r>
      <w:r>
        <w:t>hybrid,</w:t>
      </w:r>
      <w:r>
        <w:rPr>
          <w:spacing w:val="-5"/>
        </w:rPr>
        <w:t xml:space="preserve"> </w:t>
      </w:r>
      <w:r>
        <w:rPr>
          <w:spacing w:val="-2"/>
        </w:rPr>
        <w:t>asynchronous</w:t>
      </w:r>
    </w:p>
    <w:p w14:paraId="74249C35" w14:textId="77777777" w:rsidR="00792BB2" w:rsidRDefault="00D77450">
      <w:pPr>
        <w:pStyle w:val="ListParagraph"/>
        <w:numPr>
          <w:ilvl w:val="2"/>
          <w:numId w:val="2"/>
        </w:numPr>
        <w:tabs>
          <w:tab w:val="left" w:pos="2569"/>
        </w:tabs>
        <w:spacing w:before="40" w:line="266" w:lineRule="auto"/>
        <w:ind w:right="569"/>
      </w:pPr>
      <w:r>
        <w:t>Course</w:t>
      </w:r>
      <w:r>
        <w:rPr>
          <w:spacing w:val="-4"/>
        </w:rPr>
        <w:t xml:space="preserve"> </w:t>
      </w:r>
      <w:r>
        <w:t>level</w:t>
      </w:r>
      <w:r>
        <w:rPr>
          <w:spacing w:val="-5"/>
        </w:rPr>
        <w:t xml:space="preserve"> </w:t>
      </w:r>
      <w:r>
        <w:t>and</w:t>
      </w:r>
      <w:r>
        <w:rPr>
          <w:spacing w:val="-6"/>
        </w:rPr>
        <w:t xml:space="preserve"> </w:t>
      </w:r>
      <w:r>
        <w:t>content</w:t>
      </w:r>
      <w:r>
        <w:rPr>
          <w:spacing w:val="-5"/>
        </w:rPr>
        <w:t xml:space="preserve"> </w:t>
      </w:r>
      <w:r>
        <w:t>complexity</w:t>
      </w:r>
      <w:r>
        <w:rPr>
          <w:spacing w:val="-6"/>
        </w:rPr>
        <w:t xml:space="preserve"> </w:t>
      </w:r>
      <w:r>
        <w:t>with</w:t>
      </w:r>
      <w:r>
        <w:rPr>
          <w:spacing w:val="-6"/>
        </w:rPr>
        <w:t xml:space="preserve"> </w:t>
      </w:r>
      <w:r>
        <w:t>respect</w:t>
      </w:r>
      <w:r>
        <w:rPr>
          <w:spacing w:val="-5"/>
        </w:rPr>
        <w:t xml:space="preserve"> </w:t>
      </w:r>
      <w:r>
        <w:t>to</w:t>
      </w:r>
      <w:r>
        <w:rPr>
          <w:spacing w:val="-4"/>
        </w:rPr>
        <w:t xml:space="preserve"> </w:t>
      </w:r>
      <w:r>
        <w:t xml:space="preserve">learning </w:t>
      </w:r>
      <w:r>
        <w:rPr>
          <w:spacing w:val="-2"/>
        </w:rPr>
        <w:t>outcomes.</w:t>
      </w:r>
    </w:p>
    <w:p w14:paraId="3B899118" w14:textId="77777777" w:rsidR="00792BB2" w:rsidRDefault="00D77450">
      <w:pPr>
        <w:pStyle w:val="ListParagraph"/>
        <w:numPr>
          <w:ilvl w:val="2"/>
          <w:numId w:val="2"/>
        </w:numPr>
        <w:tabs>
          <w:tab w:val="left" w:pos="2568"/>
        </w:tabs>
        <w:spacing w:before="12"/>
        <w:ind w:left="2568" w:hanging="590"/>
      </w:pPr>
      <w:r>
        <w:t>New</w:t>
      </w:r>
      <w:r>
        <w:rPr>
          <w:spacing w:val="-5"/>
        </w:rPr>
        <w:t xml:space="preserve"> </w:t>
      </w:r>
      <w:r>
        <w:t>course</w:t>
      </w:r>
      <w:r>
        <w:rPr>
          <w:spacing w:val="-4"/>
        </w:rPr>
        <w:t xml:space="preserve"> </w:t>
      </w:r>
      <w:r>
        <w:rPr>
          <w:spacing w:val="-2"/>
        </w:rPr>
        <w:t>development.</w:t>
      </w:r>
    </w:p>
    <w:p w14:paraId="279018AB" w14:textId="77777777" w:rsidR="00792BB2" w:rsidRDefault="00D77450">
      <w:pPr>
        <w:pStyle w:val="ListParagraph"/>
        <w:numPr>
          <w:ilvl w:val="2"/>
          <w:numId w:val="2"/>
        </w:numPr>
        <w:tabs>
          <w:tab w:val="left" w:pos="2569"/>
        </w:tabs>
        <w:spacing w:before="40" w:line="268" w:lineRule="auto"/>
        <w:ind w:right="769"/>
      </w:pPr>
      <w:r>
        <w:t>Faculty</w:t>
      </w:r>
      <w:r>
        <w:rPr>
          <w:spacing w:val="-6"/>
        </w:rPr>
        <w:t xml:space="preserve"> </w:t>
      </w:r>
      <w:r>
        <w:t>traveling</w:t>
      </w:r>
      <w:r>
        <w:rPr>
          <w:spacing w:val="-4"/>
        </w:rPr>
        <w:t xml:space="preserve"> </w:t>
      </w:r>
      <w:r>
        <w:t>greater</w:t>
      </w:r>
      <w:r>
        <w:rPr>
          <w:spacing w:val="-5"/>
        </w:rPr>
        <w:t xml:space="preserve"> </w:t>
      </w:r>
      <w:r>
        <w:t>than</w:t>
      </w:r>
      <w:r>
        <w:rPr>
          <w:spacing w:val="-4"/>
        </w:rPr>
        <w:t xml:space="preserve"> </w:t>
      </w:r>
      <w:r>
        <w:t>25</w:t>
      </w:r>
      <w:r>
        <w:rPr>
          <w:spacing w:val="-6"/>
        </w:rPr>
        <w:t xml:space="preserve"> </w:t>
      </w:r>
      <w:r>
        <w:t>miles</w:t>
      </w:r>
      <w:r>
        <w:rPr>
          <w:spacing w:val="-6"/>
        </w:rPr>
        <w:t xml:space="preserve"> </w:t>
      </w:r>
      <w:r>
        <w:t>from</w:t>
      </w:r>
      <w:r>
        <w:rPr>
          <w:spacing w:val="-5"/>
        </w:rPr>
        <w:t xml:space="preserve"> </w:t>
      </w:r>
      <w:r>
        <w:t>their</w:t>
      </w:r>
      <w:r>
        <w:rPr>
          <w:spacing w:val="-7"/>
        </w:rPr>
        <w:t xml:space="preserve"> </w:t>
      </w:r>
      <w:r>
        <w:t xml:space="preserve">assigned </w:t>
      </w:r>
      <w:r>
        <w:rPr>
          <w:spacing w:val="-2"/>
        </w:rPr>
        <w:t>campus.</w:t>
      </w:r>
    </w:p>
    <w:p w14:paraId="5E0F0E84" w14:textId="77777777" w:rsidR="00792BB2" w:rsidRDefault="00792BB2">
      <w:pPr>
        <w:pStyle w:val="ListParagraph"/>
        <w:spacing w:line="268" w:lineRule="auto"/>
        <w:sectPr w:rsidR="00792BB2">
          <w:pgSz w:w="12240" w:h="15840"/>
          <w:pgMar w:top="1380" w:right="1440" w:bottom="280" w:left="1800" w:header="720" w:footer="720" w:gutter="0"/>
          <w:cols w:space="720"/>
        </w:sectPr>
      </w:pPr>
    </w:p>
    <w:p w14:paraId="02ACD937" w14:textId="77777777" w:rsidR="00792BB2" w:rsidRDefault="00D77450">
      <w:pPr>
        <w:pStyle w:val="ListParagraph"/>
        <w:numPr>
          <w:ilvl w:val="1"/>
          <w:numId w:val="2"/>
        </w:numPr>
        <w:tabs>
          <w:tab w:val="left" w:pos="1800"/>
        </w:tabs>
        <w:spacing w:before="70" w:line="268" w:lineRule="auto"/>
      </w:pPr>
      <w:r>
        <w:lastRenderedPageBreak/>
        <w:t>Activities such as thesis, dissertation, capstone and other academic supervision</w:t>
      </w:r>
      <w:r>
        <w:rPr>
          <w:spacing w:val="-6"/>
        </w:rPr>
        <w:t xml:space="preserve"> </w:t>
      </w:r>
      <w:r>
        <w:t>courses</w:t>
      </w:r>
      <w:r>
        <w:rPr>
          <w:spacing w:val="-8"/>
        </w:rPr>
        <w:t xml:space="preserve"> </w:t>
      </w:r>
      <w:r>
        <w:t>may,</w:t>
      </w:r>
      <w:r>
        <w:rPr>
          <w:spacing w:val="-7"/>
        </w:rPr>
        <w:t xml:space="preserve"> </w:t>
      </w:r>
      <w:r>
        <w:t>through</w:t>
      </w:r>
      <w:r>
        <w:rPr>
          <w:spacing w:val="-9"/>
        </w:rPr>
        <w:t xml:space="preserve"> </w:t>
      </w:r>
      <w:r>
        <w:t>conversation</w:t>
      </w:r>
      <w:r>
        <w:rPr>
          <w:spacing w:val="-6"/>
        </w:rPr>
        <w:t xml:space="preserve"> </w:t>
      </w:r>
      <w:r>
        <w:t>with</w:t>
      </w:r>
      <w:r>
        <w:rPr>
          <w:spacing w:val="-8"/>
        </w:rPr>
        <w:t xml:space="preserve"> </w:t>
      </w:r>
      <w:r>
        <w:t>the</w:t>
      </w:r>
      <w:r>
        <w:rPr>
          <w:spacing w:val="-6"/>
        </w:rPr>
        <w:t xml:space="preserve"> </w:t>
      </w:r>
      <w:r>
        <w:t>Department</w:t>
      </w:r>
      <w:r>
        <w:rPr>
          <w:spacing w:val="-7"/>
        </w:rPr>
        <w:t xml:space="preserve"> </w:t>
      </w:r>
      <w:r>
        <w:t xml:space="preserve">Chair and </w:t>
      </w:r>
      <w:proofErr w:type="spellStart"/>
      <w:r>
        <w:t>CoSE</w:t>
      </w:r>
      <w:proofErr w:type="spellEnd"/>
      <w:r>
        <w:t xml:space="preserve"> Dean, be assigned as instructional WEU.</w:t>
      </w:r>
      <w:r>
        <w:rPr>
          <w:spacing w:val="-4"/>
        </w:rPr>
        <w:t xml:space="preserve"> </w:t>
      </w:r>
      <w:r>
        <w:t>Any WEU credit for mentoring activities should not negatively impact a department’s ability to deliver their curriculum.</w:t>
      </w:r>
      <w:r>
        <w:rPr>
          <w:spacing w:val="-4"/>
        </w:rPr>
        <w:t xml:space="preserve"> </w:t>
      </w:r>
      <w:r>
        <w:t>The total WEU for</w:t>
      </w:r>
      <w:r>
        <w:rPr>
          <w:spacing w:val="-1"/>
        </w:rPr>
        <w:t xml:space="preserve"> </w:t>
      </w:r>
      <w:r>
        <w:t>mentoring activities included in instructional workload may not exceed 3 WEU per semester (6 WEU per academic year).</w:t>
      </w:r>
    </w:p>
    <w:p w14:paraId="3C15BEBD" w14:textId="77777777" w:rsidR="00792BB2" w:rsidRDefault="00792BB2">
      <w:pPr>
        <w:pStyle w:val="BodyText"/>
        <w:spacing w:before="43"/>
      </w:pPr>
    </w:p>
    <w:p w14:paraId="29433580" w14:textId="77777777" w:rsidR="00792BB2" w:rsidRDefault="00D77450">
      <w:pPr>
        <w:pStyle w:val="BodyText"/>
        <w:tabs>
          <w:tab w:val="left" w:pos="1622"/>
        </w:tabs>
        <w:ind w:left="1066"/>
      </w:pPr>
      <w:r>
        <w:rPr>
          <w:spacing w:val="-5"/>
        </w:rPr>
        <w:t>IV.</w:t>
      </w:r>
      <w:r>
        <w:tab/>
        <w:t>H.</w:t>
      </w:r>
      <w:r>
        <w:rPr>
          <w:spacing w:val="-5"/>
        </w:rPr>
        <w:t xml:space="preserve"> </w:t>
      </w:r>
      <w:r>
        <w:t>(all</w:t>
      </w:r>
      <w:r>
        <w:rPr>
          <w:spacing w:val="-4"/>
        </w:rPr>
        <w:t xml:space="preserve"> </w:t>
      </w:r>
      <w:r>
        <w:t>other</w:t>
      </w:r>
      <w:r>
        <w:rPr>
          <w:spacing w:val="-5"/>
        </w:rPr>
        <w:t xml:space="preserve"> </w:t>
      </w:r>
      <w:r>
        <w:t>subsections</w:t>
      </w:r>
      <w:r>
        <w:rPr>
          <w:spacing w:val="-3"/>
        </w:rPr>
        <w:t xml:space="preserve"> </w:t>
      </w:r>
      <w:r>
        <w:t>of</w:t>
      </w:r>
      <w:r>
        <w:rPr>
          <w:spacing w:val="-5"/>
        </w:rPr>
        <w:t xml:space="preserve"> </w:t>
      </w:r>
      <w:r>
        <w:t>section</w:t>
      </w:r>
      <w:r>
        <w:rPr>
          <w:spacing w:val="-3"/>
        </w:rPr>
        <w:t xml:space="preserve"> </w:t>
      </w:r>
      <w:r>
        <w:rPr>
          <w:spacing w:val="-5"/>
        </w:rPr>
        <w:t>H)</w:t>
      </w:r>
    </w:p>
    <w:p w14:paraId="12683C01" w14:textId="77777777" w:rsidR="00792BB2" w:rsidRDefault="00D77450">
      <w:pPr>
        <w:pStyle w:val="BodyText"/>
        <w:spacing w:before="40" w:line="268" w:lineRule="auto"/>
        <w:ind w:left="1075" w:right="226" w:hanging="10"/>
      </w:pPr>
      <w:r>
        <w:t xml:space="preserve">Higher service, scholarship, and/or administrative productivity is expected to accompany any reduction in instructional load, to be consistent with each department's goals and objectives, and approved by the </w:t>
      </w:r>
      <w:proofErr w:type="spellStart"/>
      <w:r>
        <w:t>CoSE</w:t>
      </w:r>
      <w:proofErr w:type="spellEnd"/>
      <w:r>
        <w:t xml:space="preserve"> Dean. </w:t>
      </w:r>
      <w:proofErr w:type="spellStart"/>
      <w:r>
        <w:t>CoSE</w:t>
      </w:r>
      <w:proofErr w:type="spellEnd"/>
      <w:r>
        <w:t xml:space="preserve"> Departments are encouraged to compile clear expectations for Research, Administration, and Service aligned with Scholarship. In instances where a buyout</w:t>
      </w:r>
      <w:r>
        <w:rPr>
          <w:spacing w:val="-4"/>
        </w:rPr>
        <w:t xml:space="preserve"> </w:t>
      </w:r>
      <w:r>
        <w:t>is</w:t>
      </w:r>
      <w:r>
        <w:rPr>
          <w:spacing w:val="-8"/>
        </w:rPr>
        <w:t xml:space="preserve"> </w:t>
      </w:r>
      <w:r>
        <w:t>necessary,</w:t>
      </w:r>
      <w:r>
        <w:rPr>
          <w:spacing w:val="-7"/>
        </w:rPr>
        <w:t xml:space="preserve"> </w:t>
      </w:r>
      <w:r>
        <w:t>the</w:t>
      </w:r>
      <w:r>
        <w:rPr>
          <w:spacing w:val="-11"/>
        </w:rPr>
        <w:t xml:space="preserve"> </w:t>
      </w:r>
      <w:r>
        <w:t>Dean,</w:t>
      </w:r>
      <w:r>
        <w:rPr>
          <w:spacing w:val="-5"/>
        </w:rPr>
        <w:t xml:space="preserve"> </w:t>
      </w:r>
      <w:r>
        <w:t>Chair,</w:t>
      </w:r>
      <w:r>
        <w:rPr>
          <w:spacing w:val="-7"/>
        </w:rPr>
        <w:t xml:space="preserve"> </w:t>
      </w:r>
      <w:r>
        <w:t>and</w:t>
      </w:r>
      <w:r>
        <w:rPr>
          <w:spacing w:val="-8"/>
        </w:rPr>
        <w:t xml:space="preserve"> </w:t>
      </w:r>
      <w:r>
        <w:t>other</w:t>
      </w:r>
      <w:r>
        <w:rPr>
          <w:spacing w:val="-7"/>
        </w:rPr>
        <w:t xml:space="preserve"> </w:t>
      </w:r>
      <w:r>
        <w:t>relevant</w:t>
      </w:r>
      <w:r>
        <w:rPr>
          <w:spacing w:val="-5"/>
        </w:rPr>
        <w:t xml:space="preserve"> </w:t>
      </w:r>
      <w:r>
        <w:t>parties</w:t>
      </w:r>
      <w:r>
        <w:rPr>
          <w:spacing w:val="-6"/>
        </w:rPr>
        <w:t xml:space="preserve"> </w:t>
      </w:r>
      <w:r>
        <w:t>will</w:t>
      </w:r>
      <w:r>
        <w:rPr>
          <w:spacing w:val="-6"/>
        </w:rPr>
        <w:t xml:space="preserve"> </w:t>
      </w:r>
      <w:r>
        <w:t>negotiate how funds will be allocated to cover the cost.</w:t>
      </w:r>
    </w:p>
    <w:p w14:paraId="43D2B74C" w14:textId="77777777" w:rsidR="00792BB2" w:rsidRDefault="00792BB2">
      <w:pPr>
        <w:pStyle w:val="BodyText"/>
        <w:spacing w:before="37"/>
      </w:pPr>
    </w:p>
    <w:p w14:paraId="05CEBCA6" w14:textId="77777777" w:rsidR="00792BB2" w:rsidRDefault="00D77450">
      <w:pPr>
        <w:pStyle w:val="BodyText"/>
        <w:spacing w:line="268" w:lineRule="auto"/>
        <w:ind w:left="1075" w:hanging="10"/>
      </w:pPr>
      <w:r>
        <w:t>The WEU distribution associated with service as a department chair will be negotiated</w:t>
      </w:r>
      <w:r>
        <w:rPr>
          <w:spacing w:val="-4"/>
        </w:rPr>
        <w:t xml:space="preserve"> </w:t>
      </w:r>
      <w:r>
        <w:t>with</w:t>
      </w:r>
      <w:r>
        <w:rPr>
          <w:spacing w:val="-6"/>
        </w:rPr>
        <w:t xml:space="preserve"> </w:t>
      </w:r>
      <w:r>
        <w:t>the</w:t>
      </w:r>
      <w:r>
        <w:rPr>
          <w:spacing w:val="-6"/>
        </w:rPr>
        <w:t xml:space="preserve"> </w:t>
      </w:r>
      <w:proofErr w:type="spellStart"/>
      <w:r>
        <w:t>CoSE</w:t>
      </w:r>
      <w:proofErr w:type="spellEnd"/>
      <w:r>
        <w:rPr>
          <w:spacing w:val="-4"/>
        </w:rPr>
        <w:t xml:space="preserve"> </w:t>
      </w:r>
      <w:r>
        <w:t>Dean.</w:t>
      </w:r>
      <w:r>
        <w:rPr>
          <w:spacing w:val="-7"/>
        </w:rPr>
        <w:t xml:space="preserve"> </w:t>
      </w:r>
      <w:r>
        <w:t>This</w:t>
      </w:r>
      <w:r>
        <w:rPr>
          <w:spacing w:val="-3"/>
        </w:rPr>
        <w:t xml:space="preserve"> </w:t>
      </w:r>
      <w:r>
        <w:t>administrative</w:t>
      </w:r>
      <w:r>
        <w:rPr>
          <w:spacing w:val="-4"/>
        </w:rPr>
        <w:t xml:space="preserve"> </w:t>
      </w:r>
      <w:r>
        <w:t>service</w:t>
      </w:r>
      <w:r>
        <w:rPr>
          <w:spacing w:val="-4"/>
        </w:rPr>
        <w:t xml:space="preserve"> </w:t>
      </w:r>
      <w:r>
        <w:t>will</w:t>
      </w:r>
      <w:r>
        <w:rPr>
          <w:spacing w:val="-4"/>
        </w:rPr>
        <w:t xml:space="preserve"> </w:t>
      </w:r>
      <w:r>
        <w:t>likely</w:t>
      </w:r>
      <w:r>
        <w:rPr>
          <w:spacing w:val="-3"/>
        </w:rPr>
        <w:t xml:space="preserve"> </w:t>
      </w:r>
      <w:r>
        <w:t>require</w:t>
      </w:r>
      <w:r>
        <w:rPr>
          <w:spacing w:val="-4"/>
        </w:rPr>
        <w:t xml:space="preserve"> </w:t>
      </w:r>
      <w:r>
        <w:t>a reduction of instructional WEU for department chairs.</w:t>
      </w:r>
    </w:p>
    <w:p w14:paraId="6727DE34" w14:textId="77777777" w:rsidR="00792BB2" w:rsidRDefault="00792BB2">
      <w:pPr>
        <w:pStyle w:val="BodyText"/>
        <w:spacing w:before="47"/>
      </w:pPr>
    </w:p>
    <w:p w14:paraId="7F84700A" w14:textId="77777777" w:rsidR="00792BB2" w:rsidRDefault="00D77450">
      <w:pPr>
        <w:pStyle w:val="BodyText"/>
        <w:tabs>
          <w:tab w:val="left" w:pos="1620"/>
        </w:tabs>
        <w:spacing w:line="268" w:lineRule="auto"/>
        <w:ind w:left="1075" w:right="92" w:hanging="10"/>
      </w:pPr>
      <w:r>
        <w:rPr>
          <w:spacing w:val="-4"/>
        </w:rPr>
        <w:t>IV.</w:t>
      </w:r>
      <w:r>
        <w:tab/>
        <w:t xml:space="preserve">I. </w:t>
      </w:r>
      <w:proofErr w:type="spellStart"/>
      <w:r>
        <w:t>CoSE</w:t>
      </w:r>
      <w:proofErr w:type="spellEnd"/>
      <w:r>
        <w:t xml:space="preserve"> recognizes that the distribution of workload within an academic year for some departments can be predictably imbalanced (e.g., spring and fall WEU are not equal). This predictable imbalance necessitates a long-term commitment to flexibility in the allocation of workload between semesters, and </w:t>
      </w:r>
      <w:proofErr w:type="spellStart"/>
      <w:r>
        <w:t>CoSE</w:t>
      </w:r>
      <w:proofErr w:type="spellEnd"/>
      <w:r>
        <w:rPr>
          <w:spacing w:val="-3"/>
        </w:rPr>
        <w:t xml:space="preserve"> </w:t>
      </w:r>
      <w:r>
        <w:t>suggests</w:t>
      </w:r>
      <w:r>
        <w:rPr>
          <w:spacing w:val="-5"/>
        </w:rPr>
        <w:t xml:space="preserve"> </w:t>
      </w:r>
      <w:r>
        <w:t>a</w:t>
      </w:r>
      <w:r>
        <w:rPr>
          <w:spacing w:val="-5"/>
        </w:rPr>
        <w:t xml:space="preserve"> </w:t>
      </w:r>
      <w:r>
        <w:t>multi-year</w:t>
      </w:r>
      <w:r>
        <w:rPr>
          <w:spacing w:val="-4"/>
        </w:rPr>
        <w:t xml:space="preserve"> </w:t>
      </w:r>
      <w:r>
        <w:t>(rather</w:t>
      </w:r>
      <w:r>
        <w:rPr>
          <w:spacing w:val="-4"/>
        </w:rPr>
        <w:t xml:space="preserve"> </w:t>
      </w:r>
      <w:r>
        <w:t>than</w:t>
      </w:r>
      <w:r>
        <w:rPr>
          <w:spacing w:val="-5"/>
        </w:rPr>
        <w:t xml:space="preserve"> </w:t>
      </w:r>
      <w:r>
        <w:t>semester-by-semester)</w:t>
      </w:r>
      <w:r>
        <w:rPr>
          <w:spacing w:val="-4"/>
        </w:rPr>
        <w:t xml:space="preserve"> </w:t>
      </w:r>
      <w:r>
        <w:t>approval</w:t>
      </w:r>
      <w:r>
        <w:rPr>
          <w:spacing w:val="-6"/>
        </w:rPr>
        <w:t xml:space="preserve"> </w:t>
      </w:r>
      <w:r>
        <w:t>period for requests to accommodate such distributions.</w:t>
      </w:r>
    </w:p>
    <w:p w14:paraId="16CB3934" w14:textId="77777777" w:rsidR="00792BB2" w:rsidRDefault="00792BB2">
      <w:pPr>
        <w:pStyle w:val="BodyText"/>
        <w:spacing w:before="44"/>
      </w:pPr>
    </w:p>
    <w:p w14:paraId="0D5E4640" w14:textId="77777777" w:rsidR="00792BB2" w:rsidRDefault="00D77450">
      <w:pPr>
        <w:pStyle w:val="ListParagraph"/>
        <w:numPr>
          <w:ilvl w:val="0"/>
          <w:numId w:val="1"/>
        </w:numPr>
        <w:tabs>
          <w:tab w:val="left" w:pos="1785"/>
        </w:tabs>
        <w:ind w:left="1785" w:hanging="719"/>
      </w:pPr>
      <w:r>
        <w:t>J.</w:t>
      </w:r>
      <w:r>
        <w:rPr>
          <w:spacing w:val="-5"/>
        </w:rPr>
        <w:t xml:space="preserve"> </w:t>
      </w:r>
      <w:r>
        <w:t>No</w:t>
      </w:r>
      <w:r>
        <w:rPr>
          <w:spacing w:val="-7"/>
        </w:rPr>
        <w:t xml:space="preserve"> </w:t>
      </w:r>
      <w:r>
        <w:t>supplemental</w:t>
      </w:r>
      <w:r>
        <w:rPr>
          <w:spacing w:val="-7"/>
        </w:rPr>
        <w:t xml:space="preserve"> </w:t>
      </w:r>
      <w:r>
        <w:t>information</w:t>
      </w:r>
      <w:r>
        <w:rPr>
          <w:spacing w:val="-7"/>
        </w:rPr>
        <w:t xml:space="preserve"> </w:t>
      </w:r>
      <w:r>
        <w:rPr>
          <w:spacing w:val="-2"/>
        </w:rPr>
        <w:t>required.</w:t>
      </w:r>
    </w:p>
    <w:p w14:paraId="74B9CE3A" w14:textId="77777777" w:rsidR="00792BB2" w:rsidRDefault="00792BB2">
      <w:pPr>
        <w:pStyle w:val="BodyText"/>
        <w:spacing w:before="75"/>
      </w:pPr>
    </w:p>
    <w:p w14:paraId="17298421" w14:textId="77777777" w:rsidR="00792BB2" w:rsidRDefault="00D77450">
      <w:pPr>
        <w:pStyle w:val="ListParagraph"/>
        <w:numPr>
          <w:ilvl w:val="0"/>
          <w:numId w:val="1"/>
        </w:numPr>
        <w:tabs>
          <w:tab w:val="left" w:pos="1785"/>
        </w:tabs>
        <w:ind w:left="1785" w:hanging="719"/>
      </w:pPr>
      <w:r>
        <w:t>No</w:t>
      </w:r>
      <w:r>
        <w:rPr>
          <w:spacing w:val="-7"/>
        </w:rPr>
        <w:t xml:space="preserve"> </w:t>
      </w:r>
      <w:r>
        <w:t>supplemental</w:t>
      </w:r>
      <w:r>
        <w:rPr>
          <w:spacing w:val="-9"/>
        </w:rPr>
        <w:t xml:space="preserve"> </w:t>
      </w:r>
      <w:r>
        <w:t>information</w:t>
      </w:r>
      <w:r>
        <w:rPr>
          <w:spacing w:val="-6"/>
        </w:rPr>
        <w:t xml:space="preserve"> </w:t>
      </w:r>
      <w:r>
        <w:rPr>
          <w:spacing w:val="-2"/>
        </w:rPr>
        <w:t>required.</w:t>
      </w:r>
    </w:p>
    <w:sectPr w:rsidR="00792BB2">
      <w:pgSz w:w="12240" w:h="15840"/>
      <w:pgMar w:top="1380" w:right="144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1CF8"/>
    <w:multiLevelType w:val="hybridMultilevel"/>
    <w:tmpl w:val="0B32D55A"/>
    <w:lvl w:ilvl="0" w:tplc="6CC0789C">
      <w:start w:val="1"/>
      <w:numFmt w:val="upperRoman"/>
      <w:lvlText w:val="%1."/>
      <w:lvlJc w:val="left"/>
      <w:pPr>
        <w:ind w:left="1066" w:hanging="720"/>
        <w:jc w:val="left"/>
      </w:pPr>
      <w:rPr>
        <w:rFonts w:ascii="Arial" w:eastAsia="Arial" w:hAnsi="Arial" w:cs="Arial" w:hint="default"/>
        <w:b w:val="0"/>
        <w:bCs w:val="0"/>
        <w:i w:val="0"/>
        <w:iCs w:val="0"/>
        <w:spacing w:val="0"/>
        <w:w w:val="100"/>
        <w:sz w:val="22"/>
        <w:szCs w:val="22"/>
        <w:lang w:val="en-US" w:eastAsia="en-US" w:bidi="ar-SA"/>
      </w:rPr>
    </w:lvl>
    <w:lvl w:ilvl="1" w:tplc="96361942">
      <w:numFmt w:val="bullet"/>
      <w:lvlText w:val="•"/>
      <w:lvlJc w:val="left"/>
      <w:pPr>
        <w:ind w:left="1854" w:hanging="720"/>
      </w:pPr>
      <w:rPr>
        <w:rFonts w:hint="default"/>
        <w:lang w:val="en-US" w:eastAsia="en-US" w:bidi="ar-SA"/>
      </w:rPr>
    </w:lvl>
    <w:lvl w:ilvl="2" w:tplc="6DA4ABB4">
      <w:numFmt w:val="bullet"/>
      <w:lvlText w:val="•"/>
      <w:lvlJc w:val="left"/>
      <w:pPr>
        <w:ind w:left="2648" w:hanging="720"/>
      </w:pPr>
      <w:rPr>
        <w:rFonts w:hint="default"/>
        <w:lang w:val="en-US" w:eastAsia="en-US" w:bidi="ar-SA"/>
      </w:rPr>
    </w:lvl>
    <w:lvl w:ilvl="3" w:tplc="A0EE4414">
      <w:numFmt w:val="bullet"/>
      <w:lvlText w:val="•"/>
      <w:lvlJc w:val="left"/>
      <w:pPr>
        <w:ind w:left="3442" w:hanging="720"/>
      </w:pPr>
      <w:rPr>
        <w:rFonts w:hint="default"/>
        <w:lang w:val="en-US" w:eastAsia="en-US" w:bidi="ar-SA"/>
      </w:rPr>
    </w:lvl>
    <w:lvl w:ilvl="4" w:tplc="37588BD0">
      <w:numFmt w:val="bullet"/>
      <w:lvlText w:val="•"/>
      <w:lvlJc w:val="left"/>
      <w:pPr>
        <w:ind w:left="4236" w:hanging="720"/>
      </w:pPr>
      <w:rPr>
        <w:rFonts w:hint="default"/>
        <w:lang w:val="en-US" w:eastAsia="en-US" w:bidi="ar-SA"/>
      </w:rPr>
    </w:lvl>
    <w:lvl w:ilvl="5" w:tplc="232E0738">
      <w:numFmt w:val="bullet"/>
      <w:lvlText w:val="•"/>
      <w:lvlJc w:val="left"/>
      <w:pPr>
        <w:ind w:left="5030" w:hanging="720"/>
      </w:pPr>
      <w:rPr>
        <w:rFonts w:hint="default"/>
        <w:lang w:val="en-US" w:eastAsia="en-US" w:bidi="ar-SA"/>
      </w:rPr>
    </w:lvl>
    <w:lvl w:ilvl="6" w:tplc="45125956">
      <w:numFmt w:val="bullet"/>
      <w:lvlText w:val="•"/>
      <w:lvlJc w:val="left"/>
      <w:pPr>
        <w:ind w:left="5824" w:hanging="720"/>
      </w:pPr>
      <w:rPr>
        <w:rFonts w:hint="default"/>
        <w:lang w:val="en-US" w:eastAsia="en-US" w:bidi="ar-SA"/>
      </w:rPr>
    </w:lvl>
    <w:lvl w:ilvl="7" w:tplc="952AF0D4">
      <w:numFmt w:val="bullet"/>
      <w:lvlText w:val="•"/>
      <w:lvlJc w:val="left"/>
      <w:pPr>
        <w:ind w:left="6618" w:hanging="720"/>
      </w:pPr>
      <w:rPr>
        <w:rFonts w:hint="default"/>
        <w:lang w:val="en-US" w:eastAsia="en-US" w:bidi="ar-SA"/>
      </w:rPr>
    </w:lvl>
    <w:lvl w:ilvl="8" w:tplc="77FA2074">
      <w:numFmt w:val="bullet"/>
      <w:lvlText w:val="•"/>
      <w:lvlJc w:val="left"/>
      <w:pPr>
        <w:ind w:left="7412" w:hanging="720"/>
      </w:pPr>
      <w:rPr>
        <w:rFonts w:hint="default"/>
        <w:lang w:val="en-US" w:eastAsia="en-US" w:bidi="ar-SA"/>
      </w:rPr>
    </w:lvl>
  </w:abstractNum>
  <w:abstractNum w:abstractNumId="1" w15:restartNumberingAfterBreak="0">
    <w:nsid w:val="4D80771E"/>
    <w:multiLevelType w:val="hybridMultilevel"/>
    <w:tmpl w:val="3CB688C0"/>
    <w:lvl w:ilvl="0" w:tplc="BAB4096E">
      <w:start w:val="4"/>
      <w:numFmt w:val="upperRoman"/>
      <w:lvlText w:val="%1."/>
      <w:lvlJc w:val="left"/>
      <w:pPr>
        <w:ind w:left="1075" w:hanging="567"/>
        <w:jc w:val="left"/>
      </w:pPr>
      <w:rPr>
        <w:rFonts w:ascii="Arial" w:eastAsia="Arial" w:hAnsi="Arial" w:cs="Arial" w:hint="default"/>
        <w:b w:val="0"/>
        <w:bCs w:val="0"/>
        <w:i w:val="0"/>
        <w:iCs w:val="0"/>
        <w:spacing w:val="-21"/>
        <w:w w:val="100"/>
        <w:sz w:val="22"/>
        <w:szCs w:val="22"/>
        <w:lang w:val="en-US" w:eastAsia="en-US" w:bidi="ar-SA"/>
      </w:rPr>
    </w:lvl>
    <w:lvl w:ilvl="1" w:tplc="2F08D360">
      <w:start w:val="1"/>
      <w:numFmt w:val="lowerLetter"/>
      <w:lvlText w:val="%2)"/>
      <w:lvlJc w:val="left"/>
      <w:pPr>
        <w:ind w:left="1800" w:hanging="360"/>
        <w:jc w:val="left"/>
      </w:pPr>
      <w:rPr>
        <w:rFonts w:ascii="Arial" w:eastAsia="Arial" w:hAnsi="Arial" w:cs="Arial" w:hint="default"/>
        <w:b w:val="0"/>
        <w:bCs w:val="0"/>
        <w:i w:val="0"/>
        <w:iCs w:val="0"/>
        <w:spacing w:val="-1"/>
        <w:w w:val="100"/>
        <w:sz w:val="22"/>
        <w:szCs w:val="22"/>
        <w:lang w:val="en-US" w:eastAsia="en-US" w:bidi="ar-SA"/>
      </w:rPr>
    </w:lvl>
    <w:lvl w:ilvl="2" w:tplc="8C143F08">
      <w:start w:val="1"/>
      <w:numFmt w:val="lowerRoman"/>
      <w:lvlText w:val="%3)"/>
      <w:lvlJc w:val="left"/>
      <w:pPr>
        <w:ind w:left="2569" w:hanging="591"/>
        <w:jc w:val="left"/>
      </w:pPr>
      <w:rPr>
        <w:rFonts w:ascii="Arial" w:eastAsia="Arial" w:hAnsi="Arial" w:cs="Arial" w:hint="default"/>
        <w:b w:val="0"/>
        <w:bCs w:val="0"/>
        <w:i w:val="0"/>
        <w:iCs w:val="0"/>
        <w:spacing w:val="-2"/>
        <w:w w:val="100"/>
        <w:sz w:val="22"/>
        <w:szCs w:val="22"/>
        <w:lang w:val="en-US" w:eastAsia="en-US" w:bidi="ar-SA"/>
      </w:rPr>
    </w:lvl>
    <w:lvl w:ilvl="3" w:tplc="88A0E946">
      <w:numFmt w:val="bullet"/>
      <w:lvlText w:val="•"/>
      <w:lvlJc w:val="left"/>
      <w:pPr>
        <w:ind w:left="3365" w:hanging="591"/>
      </w:pPr>
      <w:rPr>
        <w:rFonts w:hint="default"/>
        <w:lang w:val="en-US" w:eastAsia="en-US" w:bidi="ar-SA"/>
      </w:rPr>
    </w:lvl>
    <w:lvl w:ilvl="4" w:tplc="D868A49A">
      <w:numFmt w:val="bullet"/>
      <w:lvlText w:val="•"/>
      <w:lvlJc w:val="left"/>
      <w:pPr>
        <w:ind w:left="4170" w:hanging="591"/>
      </w:pPr>
      <w:rPr>
        <w:rFonts w:hint="default"/>
        <w:lang w:val="en-US" w:eastAsia="en-US" w:bidi="ar-SA"/>
      </w:rPr>
    </w:lvl>
    <w:lvl w:ilvl="5" w:tplc="28908194">
      <w:numFmt w:val="bullet"/>
      <w:lvlText w:val="•"/>
      <w:lvlJc w:val="left"/>
      <w:pPr>
        <w:ind w:left="4975" w:hanging="591"/>
      </w:pPr>
      <w:rPr>
        <w:rFonts w:hint="default"/>
        <w:lang w:val="en-US" w:eastAsia="en-US" w:bidi="ar-SA"/>
      </w:rPr>
    </w:lvl>
    <w:lvl w:ilvl="6" w:tplc="8E3CFCCE">
      <w:numFmt w:val="bullet"/>
      <w:lvlText w:val="•"/>
      <w:lvlJc w:val="left"/>
      <w:pPr>
        <w:ind w:left="5780" w:hanging="591"/>
      </w:pPr>
      <w:rPr>
        <w:rFonts w:hint="default"/>
        <w:lang w:val="en-US" w:eastAsia="en-US" w:bidi="ar-SA"/>
      </w:rPr>
    </w:lvl>
    <w:lvl w:ilvl="7" w:tplc="2248800E">
      <w:numFmt w:val="bullet"/>
      <w:lvlText w:val="•"/>
      <w:lvlJc w:val="left"/>
      <w:pPr>
        <w:ind w:left="6585" w:hanging="591"/>
      </w:pPr>
      <w:rPr>
        <w:rFonts w:hint="default"/>
        <w:lang w:val="en-US" w:eastAsia="en-US" w:bidi="ar-SA"/>
      </w:rPr>
    </w:lvl>
    <w:lvl w:ilvl="8" w:tplc="03B2FED8">
      <w:numFmt w:val="bullet"/>
      <w:lvlText w:val="•"/>
      <w:lvlJc w:val="left"/>
      <w:pPr>
        <w:ind w:left="7390" w:hanging="591"/>
      </w:pPr>
      <w:rPr>
        <w:rFonts w:hint="default"/>
        <w:lang w:val="en-US" w:eastAsia="en-US" w:bidi="ar-SA"/>
      </w:rPr>
    </w:lvl>
  </w:abstractNum>
  <w:abstractNum w:abstractNumId="2" w15:restartNumberingAfterBreak="0">
    <w:nsid w:val="4EF24FDA"/>
    <w:multiLevelType w:val="hybridMultilevel"/>
    <w:tmpl w:val="5E9AC8A8"/>
    <w:lvl w:ilvl="0" w:tplc="51D0F7A0">
      <w:start w:val="4"/>
      <w:numFmt w:val="upperRoman"/>
      <w:lvlText w:val="%1."/>
      <w:lvlJc w:val="left"/>
      <w:pPr>
        <w:ind w:left="1786" w:hanging="720"/>
        <w:jc w:val="left"/>
      </w:pPr>
      <w:rPr>
        <w:rFonts w:ascii="Arial" w:eastAsia="Arial" w:hAnsi="Arial" w:cs="Arial" w:hint="default"/>
        <w:b w:val="0"/>
        <w:bCs w:val="0"/>
        <w:i w:val="0"/>
        <w:iCs w:val="0"/>
        <w:spacing w:val="-1"/>
        <w:w w:val="100"/>
        <w:sz w:val="22"/>
        <w:szCs w:val="22"/>
        <w:lang w:val="en-US" w:eastAsia="en-US" w:bidi="ar-SA"/>
      </w:rPr>
    </w:lvl>
    <w:lvl w:ilvl="1" w:tplc="36EC7FD2">
      <w:numFmt w:val="bullet"/>
      <w:lvlText w:val="•"/>
      <w:lvlJc w:val="left"/>
      <w:pPr>
        <w:ind w:left="2502" w:hanging="720"/>
      </w:pPr>
      <w:rPr>
        <w:rFonts w:hint="default"/>
        <w:lang w:val="en-US" w:eastAsia="en-US" w:bidi="ar-SA"/>
      </w:rPr>
    </w:lvl>
    <w:lvl w:ilvl="2" w:tplc="0FF4524E">
      <w:numFmt w:val="bullet"/>
      <w:lvlText w:val="•"/>
      <w:lvlJc w:val="left"/>
      <w:pPr>
        <w:ind w:left="3224" w:hanging="720"/>
      </w:pPr>
      <w:rPr>
        <w:rFonts w:hint="default"/>
        <w:lang w:val="en-US" w:eastAsia="en-US" w:bidi="ar-SA"/>
      </w:rPr>
    </w:lvl>
    <w:lvl w:ilvl="3" w:tplc="F69C550C">
      <w:numFmt w:val="bullet"/>
      <w:lvlText w:val="•"/>
      <w:lvlJc w:val="left"/>
      <w:pPr>
        <w:ind w:left="3946" w:hanging="720"/>
      </w:pPr>
      <w:rPr>
        <w:rFonts w:hint="default"/>
        <w:lang w:val="en-US" w:eastAsia="en-US" w:bidi="ar-SA"/>
      </w:rPr>
    </w:lvl>
    <w:lvl w:ilvl="4" w:tplc="2AF8F3D4">
      <w:numFmt w:val="bullet"/>
      <w:lvlText w:val="•"/>
      <w:lvlJc w:val="left"/>
      <w:pPr>
        <w:ind w:left="4668" w:hanging="720"/>
      </w:pPr>
      <w:rPr>
        <w:rFonts w:hint="default"/>
        <w:lang w:val="en-US" w:eastAsia="en-US" w:bidi="ar-SA"/>
      </w:rPr>
    </w:lvl>
    <w:lvl w:ilvl="5" w:tplc="C7B29218">
      <w:numFmt w:val="bullet"/>
      <w:lvlText w:val="•"/>
      <w:lvlJc w:val="left"/>
      <w:pPr>
        <w:ind w:left="5390" w:hanging="720"/>
      </w:pPr>
      <w:rPr>
        <w:rFonts w:hint="default"/>
        <w:lang w:val="en-US" w:eastAsia="en-US" w:bidi="ar-SA"/>
      </w:rPr>
    </w:lvl>
    <w:lvl w:ilvl="6" w:tplc="2878FA12">
      <w:numFmt w:val="bullet"/>
      <w:lvlText w:val="•"/>
      <w:lvlJc w:val="left"/>
      <w:pPr>
        <w:ind w:left="6112" w:hanging="720"/>
      </w:pPr>
      <w:rPr>
        <w:rFonts w:hint="default"/>
        <w:lang w:val="en-US" w:eastAsia="en-US" w:bidi="ar-SA"/>
      </w:rPr>
    </w:lvl>
    <w:lvl w:ilvl="7" w:tplc="2F0C5248">
      <w:numFmt w:val="bullet"/>
      <w:lvlText w:val="•"/>
      <w:lvlJc w:val="left"/>
      <w:pPr>
        <w:ind w:left="6834" w:hanging="720"/>
      </w:pPr>
      <w:rPr>
        <w:rFonts w:hint="default"/>
        <w:lang w:val="en-US" w:eastAsia="en-US" w:bidi="ar-SA"/>
      </w:rPr>
    </w:lvl>
    <w:lvl w:ilvl="8" w:tplc="F3AEF49C">
      <w:numFmt w:val="bullet"/>
      <w:lvlText w:val="•"/>
      <w:lvlJc w:val="left"/>
      <w:pPr>
        <w:ind w:left="7556" w:hanging="72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B2"/>
    <w:rsid w:val="00792BB2"/>
    <w:rsid w:val="00A46D5E"/>
    <w:rsid w:val="00D7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F14C"/>
  <w15:docId w15:val="{5505F813-8A60-49F9-B816-37CEFA4C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0"/>
      <w:ind w:left="2115" w:right="424" w:hanging="253"/>
    </w:pPr>
    <w:rPr>
      <w:b/>
      <w:bCs/>
    </w:rPr>
  </w:style>
  <w:style w:type="paragraph" w:styleId="ListParagraph">
    <w:name w:val="List Paragraph"/>
    <w:basedOn w:val="Normal"/>
    <w:uiPriority w:val="1"/>
    <w:qFormat/>
    <w:pPr>
      <w:ind w:left="1800" w:hanging="59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2025-09-05T22:56:00Z</dcterms:created>
  <dcterms:modified xsi:type="dcterms:W3CDTF">2025-09-05T22:56:00Z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LTSC</vt:lpwstr>
  </property>
  <property fmtid="{D5CDD505-2E9C-101B-9397-08002B2CF9AE}" pid="4" name="LastSaved">
    <vt:filetime>2025-09-03T00:00:00Z</vt:filetime>
  </property>
  <property fmtid="{D5CDD505-2E9C-101B-9397-08002B2CF9AE}" pid="5" name="Producer">
    <vt:lpwstr>Microsoft® Word LTSC</vt:lpwstr>
  </property>
</Properties>
</file>